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0E30C" w14:textId="0000D409" w:rsidR="00845356" w:rsidRPr="00621B83" w:rsidRDefault="00845356" w:rsidP="00920E2C">
      <w:pPr>
        <w:ind w:left="7788" w:firstLine="708"/>
        <w:jc w:val="center"/>
        <w:rPr>
          <w:b/>
          <w:lang w:val="ru-RU"/>
        </w:rPr>
      </w:pPr>
    </w:p>
    <w:p w14:paraId="53A327FD" w14:textId="77777777" w:rsidR="0065036E" w:rsidRPr="00621B83" w:rsidRDefault="0065036E" w:rsidP="00621B83">
      <w:pPr>
        <w:tabs>
          <w:tab w:val="left" w:pos="5103"/>
          <w:tab w:val="left" w:pos="7938"/>
        </w:tabs>
        <w:spacing w:after="0" w:line="240" w:lineRule="auto"/>
        <w:ind w:firstLine="3828"/>
        <w:rPr>
          <w:b/>
        </w:rPr>
      </w:pPr>
    </w:p>
    <w:p w14:paraId="3541EC94" w14:textId="77777777" w:rsidR="0015101D" w:rsidRPr="00621B83" w:rsidRDefault="0015101D" w:rsidP="00621B83">
      <w:pPr>
        <w:tabs>
          <w:tab w:val="left" w:pos="5103"/>
          <w:tab w:val="left" w:pos="7938"/>
        </w:tabs>
        <w:spacing w:after="0" w:line="240" w:lineRule="auto"/>
        <w:ind w:firstLine="3828"/>
        <w:rPr>
          <w:b/>
        </w:rPr>
      </w:pPr>
      <w:r w:rsidRPr="00621B83">
        <w:rPr>
          <w:b/>
        </w:rPr>
        <w:t>ОДОБРИЛ:</w:t>
      </w:r>
    </w:p>
    <w:p w14:paraId="3D1DB12C" w14:textId="77777777" w:rsidR="0015101D" w:rsidRPr="00621B83" w:rsidRDefault="0015101D" w:rsidP="00621B83">
      <w:pPr>
        <w:tabs>
          <w:tab w:val="left" w:pos="5103"/>
          <w:tab w:val="left" w:pos="7938"/>
        </w:tabs>
        <w:spacing w:after="0" w:line="240" w:lineRule="auto"/>
        <w:ind w:firstLine="3828"/>
        <w:rPr>
          <w:b/>
        </w:rPr>
      </w:pPr>
    </w:p>
    <w:p w14:paraId="3722C2CC" w14:textId="77777777" w:rsidR="00634BD8" w:rsidRPr="00621B83" w:rsidRDefault="0015101D" w:rsidP="00634BD8">
      <w:pPr>
        <w:tabs>
          <w:tab w:val="left" w:pos="5760"/>
        </w:tabs>
        <w:spacing w:line="276" w:lineRule="auto"/>
        <w:ind w:left="4956"/>
        <w:rPr>
          <w:b/>
        </w:rPr>
      </w:pPr>
      <w:r w:rsidRPr="00621B83">
        <w:rPr>
          <w:b/>
        </w:rPr>
        <w:t xml:space="preserve">РЪКОВОДИТЕЛ НА </w:t>
      </w:r>
    </w:p>
    <w:p w14:paraId="4B97CF78" w14:textId="77777777" w:rsidR="0015101D" w:rsidRPr="00621B83" w:rsidRDefault="0015101D" w:rsidP="00920E2C">
      <w:pPr>
        <w:tabs>
          <w:tab w:val="left" w:pos="5760"/>
        </w:tabs>
        <w:ind w:left="4956"/>
        <w:rPr>
          <w:b/>
        </w:rPr>
      </w:pPr>
      <w:r w:rsidRPr="00621B83">
        <w:rPr>
          <w:b/>
        </w:rPr>
        <w:t>ПРО</w:t>
      </w:r>
      <w:r w:rsidR="00920E2C" w:rsidRPr="00621B83">
        <w:rPr>
          <w:b/>
        </w:rPr>
        <w:t xml:space="preserve">ГРАМНИЯ </w:t>
      </w:r>
      <w:r w:rsidRPr="00621B83">
        <w:rPr>
          <w:b/>
        </w:rPr>
        <w:t>ОПЕРАТОР</w:t>
      </w:r>
    </w:p>
    <w:p w14:paraId="19FF13C0" w14:textId="77777777" w:rsidR="0015101D" w:rsidRPr="00621B83" w:rsidRDefault="0015101D" w:rsidP="00845356">
      <w:pPr>
        <w:jc w:val="center"/>
        <w:rPr>
          <w:b/>
        </w:rPr>
      </w:pPr>
    </w:p>
    <w:p w14:paraId="69A56877" w14:textId="77777777" w:rsidR="0015101D" w:rsidRPr="00621B83" w:rsidRDefault="0015101D" w:rsidP="00621B83">
      <w:pPr>
        <w:spacing w:after="0" w:line="240" w:lineRule="auto"/>
        <w:jc w:val="center"/>
        <w:rPr>
          <w:b/>
          <w:color w:val="000000"/>
        </w:rPr>
      </w:pPr>
      <w:r w:rsidRPr="00621B83">
        <w:rPr>
          <w:b/>
          <w:color w:val="000000"/>
        </w:rPr>
        <w:t>ФИНАНСОВ МЕХАНИЗЪМ НА ЕВРОПЕЙСКОТО ИКОНОМИЧЕСКО ПРОСТРАНСТВО 20</w:t>
      </w:r>
      <w:r w:rsidR="00E2323E" w:rsidRPr="00621B83">
        <w:rPr>
          <w:b/>
          <w:color w:val="000000"/>
        </w:rPr>
        <w:t>14-2021</w:t>
      </w:r>
    </w:p>
    <w:p w14:paraId="09A59485" w14:textId="77777777" w:rsidR="00F449B3" w:rsidRPr="00621B83" w:rsidRDefault="00F449B3" w:rsidP="00621B83">
      <w:pPr>
        <w:spacing w:after="0" w:line="240" w:lineRule="auto"/>
        <w:jc w:val="center"/>
        <w:rPr>
          <w:b/>
          <w:color w:val="000000"/>
        </w:rPr>
      </w:pPr>
    </w:p>
    <w:p w14:paraId="303F6C63" w14:textId="77777777" w:rsidR="0015101D" w:rsidRPr="00621B83" w:rsidRDefault="0015101D" w:rsidP="00621B83">
      <w:pPr>
        <w:spacing w:after="0" w:line="240" w:lineRule="auto"/>
        <w:jc w:val="center"/>
        <w:rPr>
          <w:b/>
          <w:color w:val="000000"/>
        </w:rPr>
      </w:pPr>
      <w:r w:rsidRPr="00621B83">
        <w:rPr>
          <w:b/>
          <w:color w:val="000000"/>
        </w:rPr>
        <w:t>МИНИСТЕРСТВО НА ЕНЕРГЕТИКАТА</w:t>
      </w:r>
    </w:p>
    <w:p w14:paraId="0C2DE30A" w14:textId="77777777" w:rsidR="0015101D" w:rsidRPr="00621B83" w:rsidRDefault="0015101D" w:rsidP="0015101D">
      <w:pPr>
        <w:spacing w:line="240" w:lineRule="auto"/>
        <w:jc w:val="center"/>
        <w:rPr>
          <w:b/>
        </w:rPr>
      </w:pPr>
    </w:p>
    <w:p w14:paraId="576BBEA3" w14:textId="77777777" w:rsidR="00845356" w:rsidRPr="00621B83" w:rsidRDefault="00845356" w:rsidP="00845356">
      <w:pPr>
        <w:jc w:val="center"/>
        <w:rPr>
          <w:b/>
        </w:rPr>
      </w:pPr>
      <w:r w:rsidRPr="00621B83">
        <w:rPr>
          <w:b/>
        </w:rPr>
        <w:t>ПРОГРАМА „</w:t>
      </w:r>
      <w:r w:rsidR="00E2323E" w:rsidRPr="00621B83">
        <w:rPr>
          <w:b/>
        </w:rPr>
        <w:t xml:space="preserve">ВЪЗОБНОВЯЕМА ЕНЕРГИЯ, </w:t>
      </w:r>
      <w:r w:rsidRPr="00621B83">
        <w:rPr>
          <w:b/>
        </w:rPr>
        <w:t>ЕНЕРГИЙНА ЕФЕКТИВНОСТ</w:t>
      </w:r>
      <w:r w:rsidR="00E2323E" w:rsidRPr="00621B83">
        <w:rPr>
          <w:b/>
        </w:rPr>
        <w:t>, ЕНЕРГИЙНА СИГУРНОСТ</w:t>
      </w:r>
      <w:r w:rsidRPr="00621B83">
        <w:rPr>
          <w:b/>
        </w:rPr>
        <w:t>“</w:t>
      </w:r>
    </w:p>
    <w:p w14:paraId="5B7D6268" w14:textId="77777777" w:rsidR="00D756F9" w:rsidRPr="00621B83" w:rsidRDefault="00D756F9" w:rsidP="00F721B6">
      <w:pPr>
        <w:jc w:val="center"/>
        <w:rPr>
          <w:b/>
        </w:rPr>
      </w:pPr>
    </w:p>
    <w:p w14:paraId="74351EE6" w14:textId="77777777" w:rsidR="008D35DA" w:rsidRPr="00621B83" w:rsidRDefault="0015101D" w:rsidP="00F721B6">
      <w:pPr>
        <w:jc w:val="center"/>
        <w:rPr>
          <w:b/>
        </w:rPr>
      </w:pPr>
      <w:r w:rsidRPr="00621B83">
        <w:rPr>
          <w:b/>
        </w:rPr>
        <w:t>Покана за набиране на проектни предложения</w:t>
      </w:r>
    </w:p>
    <w:p w14:paraId="34EF45B5" w14:textId="0220043C" w:rsidR="00F721B6" w:rsidRPr="00621B83" w:rsidRDefault="00D55B14" w:rsidP="00F721B6">
      <w:pPr>
        <w:jc w:val="center"/>
        <w:rPr>
          <w:b/>
        </w:rPr>
      </w:pPr>
      <w:r w:rsidRPr="00621B83">
        <w:rPr>
          <w:b/>
        </w:rPr>
        <w:t xml:space="preserve">НОМЕР: </w:t>
      </w:r>
      <w:r w:rsidR="00893591" w:rsidRPr="00893591">
        <w:rPr>
          <w:b/>
        </w:rPr>
        <w:t>BGENERGY-2.001</w:t>
      </w:r>
    </w:p>
    <w:p w14:paraId="5A51F6D0" w14:textId="77777777" w:rsidR="004E0C31" w:rsidRPr="00621B83" w:rsidRDefault="004E0C31" w:rsidP="00F721B6">
      <w:pPr>
        <w:jc w:val="center"/>
        <w:rPr>
          <w:b/>
        </w:rPr>
      </w:pPr>
    </w:p>
    <w:p w14:paraId="15765D09" w14:textId="77777777" w:rsidR="004E0C31" w:rsidRPr="00621B83" w:rsidRDefault="004E0C31" w:rsidP="00F721B6">
      <w:pPr>
        <w:jc w:val="center"/>
        <w:rPr>
          <w:b/>
        </w:rPr>
      </w:pPr>
    </w:p>
    <w:p w14:paraId="78DBE314" w14:textId="77777777" w:rsidR="004E0C31" w:rsidRPr="00621B83" w:rsidRDefault="004E0C31" w:rsidP="00F721B6">
      <w:pPr>
        <w:jc w:val="center"/>
        <w:rPr>
          <w: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DE5849" w:rsidRPr="00983251" w14:paraId="5CF2646C" w14:textId="77777777" w:rsidTr="00710FED">
        <w:trPr>
          <w:trHeight w:val="2767"/>
        </w:trPr>
        <w:tc>
          <w:tcPr>
            <w:tcW w:w="9920" w:type="dxa"/>
            <w:tcBorders>
              <w:top w:val="double" w:sz="12" w:space="0" w:color="ED7D31"/>
              <w:left w:val="double" w:sz="12" w:space="0" w:color="ED7D31"/>
              <w:bottom w:val="double" w:sz="12" w:space="0" w:color="ED7D31"/>
              <w:right w:val="double" w:sz="12" w:space="0" w:color="ED7D31"/>
            </w:tcBorders>
            <w:vAlign w:val="center"/>
          </w:tcPr>
          <w:p w14:paraId="26A37B0A" w14:textId="77777777" w:rsidR="00845356" w:rsidRPr="00983251" w:rsidRDefault="0069585E" w:rsidP="00141676">
            <w:pPr>
              <w:jc w:val="center"/>
              <w:rPr>
                <w:b/>
                <w:sz w:val="24"/>
                <w:szCs w:val="24"/>
              </w:rPr>
            </w:pPr>
            <w:r w:rsidRPr="00983251">
              <w:rPr>
                <w:b/>
                <w:sz w:val="24"/>
                <w:szCs w:val="24"/>
              </w:rPr>
              <w:t xml:space="preserve">НАСОКИ ЗА </w:t>
            </w:r>
            <w:r w:rsidR="00845356" w:rsidRPr="00983251">
              <w:rPr>
                <w:b/>
                <w:sz w:val="24"/>
                <w:szCs w:val="24"/>
              </w:rPr>
              <w:t xml:space="preserve">КАНДИДАТСТВАНЕ </w:t>
            </w:r>
          </w:p>
          <w:p w14:paraId="68B40360" w14:textId="77777777" w:rsidR="00DE5849" w:rsidRPr="00621B83" w:rsidRDefault="00845356" w:rsidP="004E0C31">
            <w:pPr>
              <w:jc w:val="center"/>
              <w:rPr>
                <w:b/>
              </w:rPr>
            </w:pPr>
            <w:r w:rsidRPr="00983251">
              <w:rPr>
                <w:b/>
                <w:sz w:val="24"/>
                <w:szCs w:val="24"/>
              </w:rPr>
              <w:t xml:space="preserve">по </w:t>
            </w:r>
            <w:r w:rsidR="00DE5849" w:rsidRPr="00983251">
              <w:rPr>
                <w:b/>
                <w:sz w:val="24"/>
                <w:szCs w:val="24"/>
              </w:rPr>
              <w:t xml:space="preserve">открита процедура за </w:t>
            </w:r>
            <w:r w:rsidRPr="00983251">
              <w:rPr>
                <w:b/>
                <w:sz w:val="24"/>
                <w:szCs w:val="24"/>
              </w:rPr>
              <w:t xml:space="preserve">подбор </w:t>
            </w:r>
            <w:r w:rsidR="00DE5849" w:rsidRPr="00983251">
              <w:rPr>
                <w:b/>
                <w:sz w:val="24"/>
                <w:szCs w:val="24"/>
              </w:rPr>
              <w:t>на проекти</w:t>
            </w:r>
          </w:p>
        </w:tc>
      </w:tr>
    </w:tbl>
    <w:p w14:paraId="5A036850" w14:textId="77777777" w:rsidR="00DD4AC6" w:rsidRPr="00621B83" w:rsidRDefault="00DD4AC6" w:rsidP="00DD4AC6"/>
    <w:p w14:paraId="4FC5A02D" w14:textId="77777777" w:rsidR="00845356" w:rsidRPr="00621B83" w:rsidRDefault="00D756F9" w:rsidP="00D756F9">
      <w:pPr>
        <w:jc w:val="center"/>
        <w:rPr>
          <w:b/>
          <w:i/>
        </w:rPr>
      </w:pPr>
      <w:r w:rsidRPr="00621B83">
        <w:rPr>
          <w:b/>
          <w:i/>
        </w:rPr>
        <w:t xml:space="preserve">Процедура </w:t>
      </w:r>
      <w:r w:rsidR="000809F1" w:rsidRPr="00621B83">
        <w:rPr>
          <w:b/>
          <w:i/>
        </w:rPr>
        <w:t>„</w:t>
      </w:r>
      <w:r w:rsidR="00920E2C" w:rsidRPr="00621B83">
        <w:rPr>
          <w:b/>
          <w:i/>
        </w:rPr>
        <w:t>Рехабилитация и модернизация на общинската инфраструктура - системи за външно изкуствено осветление на общините</w:t>
      </w:r>
      <w:r w:rsidR="000809F1" w:rsidRPr="00621B83">
        <w:rPr>
          <w:b/>
          <w:i/>
        </w:rPr>
        <w:t>“</w:t>
      </w:r>
    </w:p>
    <w:p w14:paraId="4254E363" w14:textId="77777777" w:rsidR="00323FE7" w:rsidRPr="00621B83" w:rsidRDefault="00323FE7" w:rsidP="00DD4AC6">
      <w:pPr>
        <w:jc w:val="center"/>
        <w:rPr>
          <w:b/>
        </w:rPr>
      </w:pPr>
    </w:p>
    <w:p w14:paraId="4DA421B5" w14:textId="77777777" w:rsidR="00A71892" w:rsidRPr="00DF2A21" w:rsidRDefault="00100313" w:rsidP="00DF2A21">
      <w:pPr>
        <w:pageBreakBefore/>
        <w:jc w:val="center"/>
        <w:rPr>
          <w:b/>
        </w:rPr>
      </w:pPr>
      <w:r w:rsidRPr="00100313">
        <w:rPr>
          <w:b/>
        </w:rPr>
        <w:lastRenderedPageBreak/>
        <w:t>СЪДЪРЖАНИЕ</w:t>
      </w:r>
    </w:p>
    <w:p w14:paraId="50C1CB4F" w14:textId="77777777" w:rsidR="00F14AA2" w:rsidRDefault="007C5463">
      <w:pPr>
        <w:pStyle w:val="TOC1"/>
        <w:rPr>
          <w:rFonts w:asciiTheme="minorHAnsi" w:eastAsiaTheme="minorEastAsia" w:hAnsiTheme="minorHAnsi" w:cstheme="minorBidi"/>
          <w:b w:val="0"/>
          <w:sz w:val="22"/>
          <w:lang w:eastAsia="bg-BG"/>
        </w:rPr>
      </w:pPr>
      <w:r w:rsidRPr="00621B83">
        <w:fldChar w:fldCharType="begin"/>
      </w:r>
      <w:r w:rsidR="00FA5C25" w:rsidRPr="00716C51">
        <w:instrText xml:space="preserve"> TOC \o "1-3" \h \z \u </w:instrText>
      </w:r>
      <w:r w:rsidRPr="00621B83">
        <w:fldChar w:fldCharType="separate"/>
      </w:r>
      <w:hyperlink w:anchor="_Toc24983815" w:history="1">
        <w:r w:rsidR="00F14AA2" w:rsidRPr="00FC77BC">
          <w:rPr>
            <w:rStyle w:val="Hyperlink"/>
          </w:rPr>
          <w:t>1.</w:t>
        </w:r>
        <w:r w:rsidR="00F14AA2">
          <w:rPr>
            <w:rFonts w:asciiTheme="minorHAnsi" w:eastAsiaTheme="minorEastAsia" w:hAnsiTheme="minorHAnsi" w:cstheme="minorBidi"/>
            <w:b w:val="0"/>
            <w:sz w:val="22"/>
            <w:lang w:eastAsia="bg-BG"/>
          </w:rPr>
          <w:tab/>
        </w:r>
        <w:r w:rsidR="00F14AA2" w:rsidRPr="00FC77BC">
          <w:rPr>
            <w:rStyle w:val="Hyperlink"/>
          </w:rPr>
          <w:t>ПРОГРАМА „ВЪЗОБНОВЯЕМА ЕНЕРГИЯ, ЕНЕРГИЙНА ЕФЕКТИВНОСТ, ЕНЕРГИЙНА СИГУРНОСТ”</w:t>
        </w:r>
        <w:r w:rsidR="00F14AA2">
          <w:rPr>
            <w:webHidden/>
          </w:rPr>
          <w:tab/>
        </w:r>
        <w:r w:rsidR="00F14AA2">
          <w:rPr>
            <w:webHidden/>
          </w:rPr>
          <w:fldChar w:fldCharType="begin"/>
        </w:r>
        <w:r w:rsidR="00F14AA2">
          <w:rPr>
            <w:webHidden/>
          </w:rPr>
          <w:instrText xml:space="preserve"> PAGEREF _Toc24983815 \h </w:instrText>
        </w:r>
        <w:r w:rsidR="00F14AA2">
          <w:rPr>
            <w:webHidden/>
          </w:rPr>
        </w:r>
        <w:r w:rsidR="00F14AA2">
          <w:rPr>
            <w:webHidden/>
          </w:rPr>
          <w:fldChar w:fldCharType="separate"/>
        </w:r>
        <w:r w:rsidR="003F3FAD">
          <w:rPr>
            <w:webHidden/>
          </w:rPr>
          <w:t>4</w:t>
        </w:r>
        <w:r w:rsidR="00F14AA2">
          <w:rPr>
            <w:webHidden/>
          </w:rPr>
          <w:fldChar w:fldCharType="end"/>
        </w:r>
      </w:hyperlink>
    </w:p>
    <w:p w14:paraId="35A16F2A" w14:textId="77777777" w:rsidR="00F14AA2" w:rsidRDefault="00194001">
      <w:pPr>
        <w:pStyle w:val="TOC1"/>
        <w:rPr>
          <w:rFonts w:asciiTheme="minorHAnsi" w:eastAsiaTheme="minorEastAsia" w:hAnsiTheme="minorHAnsi" w:cstheme="minorBidi"/>
          <w:b w:val="0"/>
          <w:sz w:val="22"/>
          <w:lang w:eastAsia="bg-BG"/>
        </w:rPr>
      </w:pPr>
      <w:hyperlink w:anchor="_Toc24983816" w:history="1">
        <w:r w:rsidR="00F14AA2" w:rsidRPr="00FC77BC">
          <w:rPr>
            <w:rStyle w:val="Hyperlink"/>
          </w:rPr>
          <w:t>2.</w:t>
        </w:r>
        <w:r w:rsidR="00F14AA2">
          <w:rPr>
            <w:rFonts w:asciiTheme="minorHAnsi" w:eastAsiaTheme="minorEastAsia" w:hAnsiTheme="minorHAnsi" w:cstheme="minorBidi"/>
            <w:b w:val="0"/>
            <w:sz w:val="22"/>
            <w:lang w:eastAsia="bg-BG"/>
          </w:rPr>
          <w:tab/>
        </w:r>
        <w:r w:rsidR="00F14AA2" w:rsidRPr="00FC77BC">
          <w:rPr>
            <w:rStyle w:val="Hyperlink"/>
          </w:rPr>
          <w:t>ПРАВНА И ИНСТИТУЦИОНАЛНА РАМКА</w:t>
        </w:r>
        <w:r w:rsidR="00F14AA2">
          <w:rPr>
            <w:webHidden/>
          </w:rPr>
          <w:tab/>
        </w:r>
        <w:r w:rsidR="00F14AA2">
          <w:rPr>
            <w:webHidden/>
          </w:rPr>
          <w:fldChar w:fldCharType="begin"/>
        </w:r>
        <w:r w:rsidR="00F14AA2">
          <w:rPr>
            <w:webHidden/>
          </w:rPr>
          <w:instrText xml:space="preserve"> PAGEREF _Toc24983816 \h </w:instrText>
        </w:r>
        <w:r w:rsidR="00F14AA2">
          <w:rPr>
            <w:webHidden/>
          </w:rPr>
        </w:r>
        <w:r w:rsidR="00F14AA2">
          <w:rPr>
            <w:webHidden/>
          </w:rPr>
          <w:fldChar w:fldCharType="separate"/>
        </w:r>
        <w:r w:rsidR="003F3FAD">
          <w:rPr>
            <w:webHidden/>
          </w:rPr>
          <w:t>4</w:t>
        </w:r>
        <w:r w:rsidR="00F14AA2">
          <w:rPr>
            <w:webHidden/>
          </w:rPr>
          <w:fldChar w:fldCharType="end"/>
        </w:r>
      </w:hyperlink>
    </w:p>
    <w:p w14:paraId="0D327374" w14:textId="77777777" w:rsidR="00F14AA2" w:rsidRDefault="00194001">
      <w:pPr>
        <w:pStyle w:val="TOC2"/>
        <w:rPr>
          <w:rFonts w:asciiTheme="minorHAnsi" w:eastAsiaTheme="minorEastAsia" w:hAnsiTheme="minorHAnsi" w:cstheme="minorBidi"/>
          <w:sz w:val="22"/>
          <w:lang w:eastAsia="bg-BG"/>
        </w:rPr>
      </w:pPr>
      <w:hyperlink w:anchor="_Toc24983817" w:history="1">
        <w:r w:rsidR="00F14AA2" w:rsidRPr="00FC77BC">
          <w:rPr>
            <w:rStyle w:val="Hyperlink"/>
          </w:rPr>
          <w:t>2.1.</w:t>
        </w:r>
        <w:r w:rsidR="00F14AA2">
          <w:rPr>
            <w:rFonts w:asciiTheme="minorHAnsi" w:eastAsiaTheme="minorEastAsia" w:hAnsiTheme="minorHAnsi" w:cstheme="minorBidi"/>
            <w:sz w:val="22"/>
            <w:lang w:eastAsia="bg-BG"/>
          </w:rPr>
          <w:tab/>
        </w:r>
        <w:r w:rsidR="00F14AA2" w:rsidRPr="00FC77BC">
          <w:rPr>
            <w:rStyle w:val="Hyperlink"/>
          </w:rPr>
          <w:t>ПРОГРАМНИ ДОКУМЕНТИ</w:t>
        </w:r>
        <w:r w:rsidR="00F14AA2">
          <w:rPr>
            <w:webHidden/>
          </w:rPr>
          <w:tab/>
        </w:r>
        <w:r w:rsidR="00F14AA2">
          <w:rPr>
            <w:webHidden/>
          </w:rPr>
          <w:fldChar w:fldCharType="begin"/>
        </w:r>
        <w:r w:rsidR="00F14AA2">
          <w:rPr>
            <w:webHidden/>
          </w:rPr>
          <w:instrText xml:space="preserve"> PAGEREF _Toc24983817 \h </w:instrText>
        </w:r>
        <w:r w:rsidR="00F14AA2">
          <w:rPr>
            <w:webHidden/>
          </w:rPr>
        </w:r>
        <w:r w:rsidR="00F14AA2">
          <w:rPr>
            <w:webHidden/>
          </w:rPr>
          <w:fldChar w:fldCharType="separate"/>
        </w:r>
        <w:r w:rsidR="003F3FAD">
          <w:rPr>
            <w:webHidden/>
          </w:rPr>
          <w:t>4</w:t>
        </w:r>
        <w:r w:rsidR="00F14AA2">
          <w:rPr>
            <w:webHidden/>
          </w:rPr>
          <w:fldChar w:fldCharType="end"/>
        </w:r>
      </w:hyperlink>
    </w:p>
    <w:p w14:paraId="6383F0C5" w14:textId="77777777" w:rsidR="00F14AA2" w:rsidRDefault="00194001">
      <w:pPr>
        <w:pStyle w:val="TOC2"/>
        <w:rPr>
          <w:rFonts w:asciiTheme="minorHAnsi" w:eastAsiaTheme="minorEastAsia" w:hAnsiTheme="minorHAnsi" w:cstheme="minorBidi"/>
          <w:sz w:val="22"/>
          <w:lang w:eastAsia="bg-BG"/>
        </w:rPr>
      </w:pPr>
      <w:hyperlink w:anchor="_Toc24983818" w:history="1">
        <w:r w:rsidR="00F14AA2" w:rsidRPr="00FC77BC">
          <w:rPr>
            <w:rStyle w:val="Hyperlink"/>
          </w:rPr>
          <w:t>2.2.</w:t>
        </w:r>
        <w:r w:rsidR="00F14AA2">
          <w:rPr>
            <w:rFonts w:asciiTheme="minorHAnsi" w:eastAsiaTheme="minorEastAsia" w:hAnsiTheme="minorHAnsi" w:cstheme="minorBidi"/>
            <w:sz w:val="22"/>
            <w:lang w:eastAsia="bg-BG"/>
          </w:rPr>
          <w:tab/>
        </w:r>
        <w:r w:rsidR="00F14AA2" w:rsidRPr="00FC77BC">
          <w:rPr>
            <w:rStyle w:val="Hyperlink"/>
          </w:rPr>
          <w:t>ПРАВО НА ЕВРОПЕЙСКИЯ СЪЮЗ</w:t>
        </w:r>
        <w:r w:rsidR="00F14AA2">
          <w:rPr>
            <w:webHidden/>
          </w:rPr>
          <w:tab/>
        </w:r>
        <w:r w:rsidR="00F14AA2">
          <w:rPr>
            <w:webHidden/>
          </w:rPr>
          <w:fldChar w:fldCharType="begin"/>
        </w:r>
        <w:r w:rsidR="00F14AA2">
          <w:rPr>
            <w:webHidden/>
          </w:rPr>
          <w:instrText xml:space="preserve"> PAGEREF _Toc24983818 \h </w:instrText>
        </w:r>
        <w:r w:rsidR="00F14AA2">
          <w:rPr>
            <w:webHidden/>
          </w:rPr>
        </w:r>
        <w:r w:rsidR="00F14AA2">
          <w:rPr>
            <w:webHidden/>
          </w:rPr>
          <w:fldChar w:fldCharType="separate"/>
        </w:r>
        <w:r w:rsidR="003F3FAD">
          <w:rPr>
            <w:webHidden/>
          </w:rPr>
          <w:t>5</w:t>
        </w:r>
        <w:r w:rsidR="00F14AA2">
          <w:rPr>
            <w:webHidden/>
          </w:rPr>
          <w:fldChar w:fldCharType="end"/>
        </w:r>
      </w:hyperlink>
    </w:p>
    <w:p w14:paraId="57B8A848" w14:textId="77777777" w:rsidR="00F14AA2" w:rsidRDefault="00194001">
      <w:pPr>
        <w:pStyle w:val="TOC2"/>
        <w:rPr>
          <w:rFonts w:asciiTheme="minorHAnsi" w:eastAsiaTheme="minorEastAsia" w:hAnsiTheme="minorHAnsi" w:cstheme="minorBidi"/>
          <w:sz w:val="22"/>
          <w:lang w:eastAsia="bg-BG"/>
        </w:rPr>
      </w:pPr>
      <w:hyperlink w:anchor="_Toc24983820" w:history="1">
        <w:r w:rsidR="00F14AA2" w:rsidRPr="00FC77BC">
          <w:rPr>
            <w:rStyle w:val="Hyperlink"/>
          </w:rPr>
          <w:t>2.3.</w:t>
        </w:r>
        <w:r w:rsidR="00F14AA2">
          <w:rPr>
            <w:rFonts w:asciiTheme="minorHAnsi" w:eastAsiaTheme="minorEastAsia" w:hAnsiTheme="minorHAnsi" w:cstheme="minorBidi"/>
            <w:sz w:val="22"/>
            <w:lang w:eastAsia="bg-BG"/>
          </w:rPr>
          <w:tab/>
        </w:r>
        <w:r w:rsidR="00F14AA2" w:rsidRPr="00FC77BC">
          <w:rPr>
            <w:rStyle w:val="Hyperlink"/>
          </w:rPr>
          <w:t>НАЦИОНАЛНА НОРМАТИВНА УРЕДБА</w:t>
        </w:r>
        <w:r w:rsidR="00F14AA2">
          <w:rPr>
            <w:webHidden/>
          </w:rPr>
          <w:tab/>
        </w:r>
        <w:r w:rsidR="00F14AA2">
          <w:rPr>
            <w:webHidden/>
          </w:rPr>
          <w:fldChar w:fldCharType="begin"/>
        </w:r>
        <w:r w:rsidR="00F14AA2">
          <w:rPr>
            <w:webHidden/>
          </w:rPr>
          <w:instrText xml:space="preserve"> PAGEREF _Toc24983820 \h </w:instrText>
        </w:r>
        <w:r w:rsidR="00F14AA2">
          <w:rPr>
            <w:webHidden/>
          </w:rPr>
        </w:r>
        <w:r w:rsidR="00F14AA2">
          <w:rPr>
            <w:webHidden/>
          </w:rPr>
          <w:fldChar w:fldCharType="separate"/>
        </w:r>
        <w:r w:rsidR="003F3FAD">
          <w:rPr>
            <w:webHidden/>
          </w:rPr>
          <w:t>5</w:t>
        </w:r>
        <w:r w:rsidR="00F14AA2">
          <w:rPr>
            <w:webHidden/>
          </w:rPr>
          <w:fldChar w:fldCharType="end"/>
        </w:r>
      </w:hyperlink>
    </w:p>
    <w:p w14:paraId="621CAF84" w14:textId="77777777" w:rsidR="00F14AA2" w:rsidRDefault="00194001">
      <w:pPr>
        <w:pStyle w:val="TOC2"/>
        <w:rPr>
          <w:rFonts w:asciiTheme="minorHAnsi" w:eastAsiaTheme="minorEastAsia" w:hAnsiTheme="minorHAnsi" w:cstheme="minorBidi"/>
          <w:sz w:val="22"/>
          <w:lang w:eastAsia="bg-BG"/>
        </w:rPr>
      </w:pPr>
      <w:hyperlink w:anchor="_Toc24983821" w:history="1">
        <w:r w:rsidR="00F14AA2" w:rsidRPr="00FC77BC">
          <w:rPr>
            <w:rStyle w:val="Hyperlink"/>
          </w:rPr>
          <w:t>2.4.</w:t>
        </w:r>
        <w:r w:rsidR="00F14AA2">
          <w:rPr>
            <w:rFonts w:asciiTheme="minorHAnsi" w:eastAsiaTheme="minorEastAsia" w:hAnsiTheme="minorHAnsi" w:cstheme="minorBidi"/>
            <w:sz w:val="22"/>
            <w:lang w:eastAsia="bg-BG"/>
          </w:rPr>
          <w:tab/>
        </w:r>
        <w:r w:rsidR="00F14AA2" w:rsidRPr="00FC77BC">
          <w:rPr>
            <w:rStyle w:val="Hyperlink"/>
          </w:rPr>
          <w:t>ИНСТИТУЦИОНАЛНА РАМКА</w:t>
        </w:r>
        <w:r w:rsidR="00F14AA2">
          <w:rPr>
            <w:webHidden/>
          </w:rPr>
          <w:tab/>
        </w:r>
        <w:r w:rsidR="00F14AA2">
          <w:rPr>
            <w:webHidden/>
          </w:rPr>
          <w:fldChar w:fldCharType="begin"/>
        </w:r>
        <w:r w:rsidR="00F14AA2">
          <w:rPr>
            <w:webHidden/>
          </w:rPr>
          <w:instrText xml:space="preserve"> PAGEREF _Toc24983821 \h </w:instrText>
        </w:r>
        <w:r w:rsidR="00F14AA2">
          <w:rPr>
            <w:webHidden/>
          </w:rPr>
        </w:r>
        <w:r w:rsidR="00F14AA2">
          <w:rPr>
            <w:webHidden/>
          </w:rPr>
          <w:fldChar w:fldCharType="separate"/>
        </w:r>
        <w:r w:rsidR="003F3FAD">
          <w:rPr>
            <w:webHidden/>
          </w:rPr>
          <w:t>6</w:t>
        </w:r>
        <w:r w:rsidR="00F14AA2">
          <w:rPr>
            <w:webHidden/>
          </w:rPr>
          <w:fldChar w:fldCharType="end"/>
        </w:r>
      </w:hyperlink>
    </w:p>
    <w:p w14:paraId="0186413C" w14:textId="77777777" w:rsidR="00F14AA2" w:rsidRDefault="00194001">
      <w:pPr>
        <w:pStyle w:val="TOC3"/>
        <w:tabs>
          <w:tab w:val="left" w:pos="1320"/>
          <w:tab w:val="right" w:leader="dot" w:pos="9770"/>
        </w:tabs>
        <w:rPr>
          <w:rFonts w:asciiTheme="minorHAnsi" w:eastAsiaTheme="minorEastAsia" w:hAnsiTheme="minorHAnsi" w:cstheme="minorBidi"/>
          <w:noProof/>
          <w:sz w:val="22"/>
        </w:rPr>
      </w:pPr>
      <w:hyperlink w:anchor="_Toc24983822" w:history="1">
        <w:r w:rsidR="00F14AA2" w:rsidRPr="00FC77BC">
          <w:rPr>
            <w:rStyle w:val="Hyperlink"/>
            <w:noProof/>
          </w:rPr>
          <w:t>2.4.1.</w:t>
        </w:r>
        <w:r w:rsidR="00F14AA2">
          <w:rPr>
            <w:rFonts w:asciiTheme="minorHAnsi" w:eastAsiaTheme="minorEastAsia" w:hAnsiTheme="minorHAnsi" w:cstheme="minorBidi"/>
            <w:noProof/>
            <w:sz w:val="22"/>
          </w:rPr>
          <w:tab/>
        </w:r>
        <w:r w:rsidR="00F14AA2" w:rsidRPr="00FC77BC">
          <w:rPr>
            <w:rStyle w:val="Hyperlink"/>
            <w:noProof/>
          </w:rPr>
          <w:t>Институционална рамка на ниво страни-донори</w:t>
        </w:r>
        <w:r w:rsidR="00F14AA2">
          <w:rPr>
            <w:noProof/>
            <w:webHidden/>
          </w:rPr>
          <w:tab/>
        </w:r>
        <w:r w:rsidR="00F14AA2">
          <w:rPr>
            <w:noProof/>
            <w:webHidden/>
          </w:rPr>
          <w:fldChar w:fldCharType="begin"/>
        </w:r>
        <w:r w:rsidR="00F14AA2">
          <w:rPr>
            <w:noProof/>
            <w:webHidden/>
          </w:rPr>
          <w:instrText xml:space="preserve"> PAGEREF _Toc24983822 \h </w:instrText>
        </w:r>
        <w:r w:rsidR="00F14AA2">
          <w:rPr>
            <w:noProof/>
            <w:webHidden/>
          </w:rPr>
        </w:r>
        <w:r w:rsidR="00F14AA2">
          <w:rPr>
            <w:noProof/>
            <w:webHidden/>
          </w:rPr>
          <w:fldChar w:fldCharType="separate"/>
        </w:r>
        <w:r w:rsidR="003F3FAD">
          <w:rPr>
            <w:noProof/>
            <w:webHidden/>
          </w:rPr>
          <w:t>6</w:t>
        </w:r>
        <w:r w:rsidR="00F14AA2">
          <w:rPr>
            <w:noProof/>
            <w:webHidden/>
          </w:rPr>
          <w:fldChar w:fldCharType="end"/>
        </w:r>
      </w:hyperlink>
    </w:p>
    <w:p w14:paraId="16814BF4" w14:textId="77777777" w:rsidR="00F14AA2" w:rsidRDefault="00194001">
      <w:pPr>
        <w:pStyle w:val="TOC3"/>
        <w:tabs>
          <w:tab w:val="left" w:pos="1320"/>
          <w:tab w:val="right" w:leader="dot" w:pos="9770"/>
        </w:tabs>
        <w:rPr>
          <w:rFonts w:asciiTheme="minorHAnsi" w:eastAsiaTheme="minorEastAsia" w:hAnsiTheme="minorHAnsi" w:cstheme="minorBidi"/>
          <w:noProof/>
          <w:sz w:val="22"/>
        </w:rPr>
      </w:pPr>
      <w:hyperlink w:anchor="_Toc24983823" w:history="1">
        <w:r w:rsidR="00F14AA2" w:rsidRPr="00FC77BC">
          <w:rPr>
            <w:rStyle w:val="Hyperlink"/>
            <w:noProof/>
          </w:rPr>
          <w:t>2.4.2.</w:t>
        </w:r>
        <w:r w:rsidR="00F14AA2">
          <w:rPr>
            <w:rFonts w:asciiTheme="minorHAnsi" w:eastAsiaTheme="minorEastAsia" w:hAnsiTheme="minorHAnsi" w:cstheme="minorBidi"/>
            <w:noProof/>
            <w:sz w:val="22"/>
          </w:rPr>
          <w:tab/>
        </w:r>
        <w:r w:rsidR="00F14AA2" w:rsidRPr="00FC77BC">
          <w:rPr>
            <w:rStyle w:val="Hyperlink"/>
            <w:noProof/>
          </w:rPr>
          <w:t>Институционална рамка на управление на Финансовия механизъм на Европейското икономическо пространство 2009-2014 на национално ниво</w:t>
        </w:r>
        <w:r w:rsidR="00F14AA2">
          <w:rPr>
            <w:noProof/>
            <w:webHidden/>
          </w:rPr>
          <w:tab/>
        </w:r>
        <w:r w:rsidR="00F14AA2">
          <w:rPr>
            <w:noProof/>
            <w:webHidden/>
          </w:rPr>
          <w:fldChar w:fldCharType="begin"/>
        </w:r>
        <w:r w:rsidR="00F14AA2">
          <w:rPr>
            <w:noProof/>
            <w:webHidden/>
          </w:rPr>
          <w:instrText xml:space="preserve"> PAGEREF _Toc24983823 \h </w:instrText>
        </w:r>
        <w:r w:rsidR="00F14AA2">
          <w:rPr>
            <w:noProof/>
            <w:webHidden/>
          </w:rPr>
        </w:r>
        <w:r w:rsidR="00F14AA2">
          <w:rPr>
            <w:noProof/>
            <w:webHidden/>
          </w:rPr>
          <w:fldChar w:fldCharType="separate"/>
        </w:r>
        <w:r w:rsidR="003F3FAD">
          <w:rPr>
            <w:noProof/>
            <w:webHidden/>
          </w:rPr>
          <w:t>6</w:t>
        </w:r>
        <w:r w:rsidR="00F14AA2">
          <w:rPr>
            <w:noProof/>
            <w:webHidden/>
          </w:rPr>
          <w:fldChar w:fldCharType="end"/>
        </w:r>
      </w:hyperlink>
    </w:p>
    <w:p w14:paraId="794B891C" w14:textId="77777777" w:rsidR="00F14AA2" w:rsidRDefault="00194001">
      <w:pPr>
        <w:pStyle w:val="TOC1"/>
        <w:rPr>
          <w:rFonts w:asciiTheme="minorHAnsi" w:eastAsiaTheme="minorEastAsia" w:hAnsiTheme="minorHAnsi" w:cstheme="minorBidi"/>
          <w:b w:val="0"/>
          <w:sz w:val="22"/>
          <w:lang w:eastAsia="bg-BG"/>
        </w:rPr>
      </w:pPr>
      <w:hyperlink w:anchor="_Toc24983824" w:history="1">
        <w:r w:rsidR="00F14AA2" w:rsidRPr="00FC77BC">
          <w:rPr>
            <w:rStyle w:val="Hyperlink"/>
          </w:rPr>
          <w:t>3.</w:t>
        </w:r>
        <w:r w:rsidR="00F14AA2">
          <w:rPr>
            <w:rFonts w:asciiTheme="minorHAnsi" w:eastAsiaTheme="minorEastAsia" w:hAnsiTheme="minorHAnsi" w:cstheme="minorBidi"/>
            <w:b w:val="0"/>
            <w:sz w:val="22"/>
            <w:lang w:eastAsia="bg-BG"/>
          </w:rPr>
          <w:tab/>
        </w:r>
        <w:r w:rsidR="00F14AA2" w:rsidRPr="00FC77BC">
          <w:rPr>
            <w:rStyle w:val="Hyperlink"/>
          </w:rPr>
          <w:t>ОБЩИ И ХОРИЗОНТАЛНИ ПРИНЦИПИ</w:t>
        </w:r>
        <w:r w:rsidR="00F14AA2">
          <w:rPr>
            <w:webHidden/>
          </w:rPr>
          <w:tab/>
        </w:r>
        <w:r w:rsidR="00F14AA2">
          <w:rPr>
            <w:webHidden/>
          </w:rPr>
          <w:fldChar w:fldCharType="begin"/>
        </w:r>
        <w:r w:rsidR="00F14AA2">
          <w:rPr>
            <w:webHidden/>
          </w:rPr>
          <w:instrText xml:space="preserve"> PAGEREF _Toc24983824 \h </w:instrText>
        </w:r>
        <w:r w:rsidR="00F14AA2">
          <w:rPr>
            <w:webHidden/>
          </w:rPr>
        </w:r>
        <w:r w:rsidR="00F14AA2">
          <w:rPr>
            <w:webHidden/>
          </w:rPr>
          <w:fldChar w:fldCharType="separate"/>
        </w:r>
        <w:r w:rsidR="003F3FAD">
          <w:rPr>
            <w:webHidden/>
          </w:rPr>
          <w:t>7</w:t>
        </w:r>
        <w:r w:rsidR="00F14AA2">
          <w:rPr>
            <w:webHidden/>
          </w:rPr>
          <w:fldChar w:fldCharType="end"/>
        </w:r>
      </w:hyperlink>
    </w:p>
    <w:p w14:paraId="61D7E8B9" w14:textId="77777777" w:rsidR="00F14AA2" w:rsidRDefault="00194001">
      <w:pPr>
        <w:pStyle w:val="TOC1"/>
        <w:rPr>
          <w:rFonts w:asciiTheme="minorHAnsi" w:eastAsiaTheme="minorEastAsia" w:hAnsiTheme="minorHAnsi" w:cstheme="minorBidi"/>
          <w:b w:val="0"/>
          <w:sz w:val="22"/>
          <w:lang w:eastAsia="bg-BG"/>
        </w:rPr>
      </w:pPr>
      <w:hyperlink w:anchor="_Toc24983825" w:history="1">
        <w:r w:rsidR="00F14AA2" w:rsidRPr="00FC77BC">
          <w:rPr>
            <w:rStyle w:val="Hyperlink"/>
          </w:rPr>
          <w:t>4.</w:t>
        </w:r>
        <w:r w:rsidR="00F14AA2">
          <w:rPr>
            <w:rFonts w:asciiTheme="minorHAnsi" w:eastAsiaTheme="minorEastAsia" w:hAnsiTheme="minorHAnsi" w:cstheme="minorBidi"/>
            <w:b w:val="0"/>
            <w:sz w:val="22"/>
            <w:lang w:eastAsia="bg-BG"/>
          </w:rPr>
          <w:tab/>
        </w:r>
        <w:r w:rsidR="00F14AA2" w:rsidRPr="00FC77BC">
          <w:rPr>
            <w:rStyle w:val="Hyperlink"/>
          </w:rPr>
          <w:t>ЦЕЛ, ИНДИКАТОРИ, ОЧАКВАНИ РЕЗУЛТАТИ ПО ПРОЦЕДУРАТА ЗА ПОДБОР НА ПРОЕКТИ</w:t>
        </w:r>
        <w:r w:rsidR="00F14AA2">
          <w:rPr>
            <w:webHidden/>
          </w:rPr>
          <w:tab/>
        </w:r>
        <w:r w:rsidR="00F14AA2">
          <w:rPr>
            <w:webHidden/>
          </w:rPr>
          <w:fldChar w:fldCharType="begin"/>
        </w:r>
        <w:r w:rsidR="00F14AA2">
          <w:rPr>
            <w:webHidden/>
          </w:rPr>
          <w:instrText xml:space="preserve"> PAGEREF _Toc24983825 \h </w:instrText>
        </w:r>
        <w:r w:rsidR="00F14AA2">
          <w:rPr>
            <w:webHidden/>
          </w:rPr>
        </w:r>
        <w:r w:rsidR="00F14AA2">
          <w:rPr>
            <w:webHidden/>
          </w:rPr>
          <w:fldChar w:fldCharType="separate"/>
        </w:r>
        <w:r w:rsidR="003F3FAD">
          <w:rPr>
            <w:webHidden/>
          </w:rPr>
          <w:t>8</w:t>
        </w:r>
        <w:r w:rsidR="00F14AA2">
          <w:rPr>
            <w:webHidden/>
          </w:rPr>
          <w:fldChar w:fldCharType="end"/>
        </w:r>
      </w:hyperlink>
    </w:p>
    <w:p w14:paraId="3307F8DE" w14:textId="77777777" w:rsidR="00F14AA2" w:rsidRDefault="00194001">
      <w:pPr>
        <w:pStyle w:val="TOC1"/>
        <w:rPr>
          <w:rFonts w:asciiTheme="minorHAnsi" w:eastAsiaTheme="minorEastAsia" w:hAnsiTheme="minorHAnsi" w:cstheme="minorBidi"/>
          <w:b w:val="0"/>
          <w:sz w:val="22"/>
          <w:lang w:eastAsia="bg-BG"/>
        </w:rPr>
      </w:pPr>
      <w:hyperlink w:anchor="_Toc24983826" w:history="1">
        <w:r w:rsidR="00F14AA2" w:rsidRPr="00FC77BC">
          <w:rPr>
            <w:rStyle w:val="Hyperlink"/>
          </w:rPr>
          <w:t>5.</w:t>
        </w:r>
        <w:r w:rsidR="00F14AA2">
          <w:rPr>
            <w:rFonts w:asciiTheme="minorHAnsi" w:eastAsiaTheme="minorEastAsia" w:hAnsiTheme="minorHAnsi" w:cstheme="minorBidi"/>
            <w:b w:val="0"/>
            <w:sz w:val="22"/>
            <w:lang w:eastAsia="bg-BG"/>
          </w:rPr>
          <w:tab/>
        </w:r>
        <w:r w:rsidR="00F14AA2" w:rsidRPr="00FC77BC">
          <w:rPr>
            <w:rStyle w:val="Hyperlink"/>
          </w:rPr>
          <w:t>ЦЕЛЕВИ ГРУПИ:</w:t>
        </w:r>
        <w:r w:rsidR="00F14AA2">
          <w:rPr>
            <w:webHidden/>
          </w:rPr>
          <w:tab/>
        </w:r>
        <w:r w:rsidR="00F14AA2">
          <w:rPr>
            <w:webHidden/>
          </w:rPr>
          <w:fldChar w:fldCharType="begin"/>
        </w:r>
        <w:r w:rsidR="00F14AA2">
          <w:rPr>
            <w:webHidden/>
          </w:rPr>
          <w:instrText xml:space="preserve"> PAGEREF _Toc24983826 \h </w:instrText>
        </w:r>
        <w:r w:rsidR="00F14AA2">
          <w:rPr>
            <w:webHidden/>
          </w:rPr>
        </w:r>
        <w:r w:rsidR="00F14AA2">
          <w:rPr>
            <w:webHidden/>
          </w:rPr>
          <w:fldChar w:fldCharType="separate"/>
        </w:r>
        <w:r w:rsidR="003F3FAD">
          <w:rPr>
            <w:webHidden/>
          </w:rPr>
          <w:t>10</w:t>
        </w:r>
        <w:r w:rsidR="00F14AA2">
          <w:rPr>
            <w:webHidden/>
          </w:rPr>
          <w:fldChar w:fldCharType="end"/>
        </w:r>
      </w:hyperlink>
    </w:p>
    <w:p w14:paraId="53E3398F" w14:textId="77777777" w:rsidR="00F14AA2" w:rsidRDefault="00194001">
      <w:pPr>
        <w:pStyle w:val="TOC1"/>
        <w:rPr>
          <w:rFonts w:asciiTheme="minorHAnsi" w:eastAsiaTheme="minorEastAsia" w:hAnsiTheme="minorHAnsi" w:cstheme="minorBidi"/>
          <w:b w:val="0"/>
          <w:sz w:val="22"/>
          <w:lang w:eastAsia="bg-BG"/>
        </w:rPr>
      </w:pPr>
      <w:hyperlink w:anchor="_Toc24983827" w:history="1">
        <w:r w:rsidR="00F14AA2" w:rsidRPr="00FC77BC">
          <w:rPr>
            <w:rStyle w:val="Hyperlink"/>
          </w:rPr>
          <w:t>6.</w:t>
        </w:r>
        <w:r w:rsidR="00F14AA2">
          <w:rPr>
            <w:rFonts w:asciiTheme="minorHAnsi" w:eastAsiaTheme="minorEastAsia" w:hAnsiTheme="minorHAnsi" w:cstheme="minorBidi"/>
            <w:b w:val="0"/>
            <w:sz w:val="22"/>
            <w:lang w:eastAsia="bg-BG"/>
          </w:rPr>
          <w:tab/>
        </w:r>
        <w:r w:rsidR="00F14AA2" w:rsidRPr="00FC77BC">
          <w:rPr>
            <w:rStyle w:val="Hyperlink"/>
          </w:rPr>
          <w:t>РАЗМЕР НА БЕЗВЪЗМЕЗДНАТА ПОМОЩ И ПРОЦЕНТ НА СЪФИНАНСИРАНЕ</w:t>
        </w:r>
        <w:r w:rsidR="00F14AA2">
          <w:rPr>
            <w:webHidden/>
          </w:rPr>
          <w:tab/>
        </w:r>
        <w:r w:rsidR="00F14AA2">
          <w:rPr>
            <w:webHidden/>
          </w:rPr>
          <w:fldChar w:fldCharType="begin"/>
        </w:r>
        <w:r w:rsidR="00F14AA2">
          <w:rPr>
            <w:webHidden/>
          </w:rPr>
          <w:instrText xml:space="preserve"> PAGEREF _Toc24983827 \h </w:instrText>
        </w:r>
        <w:r w:rsidR="00F14AA2">
          <w:rPr>
            <w:webHidden/>
          </w:rPr>
        </w:r>
        <w:r w:rsidR="00F14AA2">
          <w:rPr>
            <w:webHidden/>
          </w:rPr>
          <w:fldChar w:fldCharType="separate"/>
        </w:r>
        <w:r w:rsidR="003F3FAD">
          <w:rPr>
            <w:webHidden/>
          </w:rPr>
          <w:t>10</w:t>
        </w:r>
        <w:r w:rsidR="00F14AA2">
          <w:rPr>
            <w:webHidden/>
          </w:rPr>
          <w:fldChar w:fldCharType="end"/>
        </w:r>
      </w:hyperlink>
    </w:p>
    <w:p w14:paraId="4F2405C7" w14:textId="77777777" w:rsidR="00F14AA2" w:rsidRDefault="00194001">
      <w:pPr>
        <w:pStyle w:val="TOC1"/>
        <w:rPr>
          <w:rFonts w:asciiTheme="minorHAnsi" w:eastAsiaTheme="minorEastAsia" w:hAnsiTheme="minorHAnsi" w:cstheme="minorBidi"/>
          <w:b w:val="0"/>
          <w:sz w:val="22"/>
          <w:lang w:eastAsia="bg-BG"/>
        </w:rPr>
      </w:pPr>
      <w:hyperlink w:anchor="_Toc24983828" w:history="1">
        <w:r w:rsidR="00F14AA2" w:rsidRPr="00FC77BC">
          <w:rPr>
            <w:rStyle w:val="Hyperlink"/>
          </w:rPr>
          <w:t>7.</w:t>
        </w:r>
        <w:r w:rsidR="00F14AA2">
          <w:rPr>
            <w:rFonts w:asciiTheme="minorHAnsi" w:eastAsiaTheme="minorEastAsia" w:hAnsiTheme="minorHAnsi" w:cstheme="minorBidi"/>
            <w:b w:val="0"/>
            <w:sz w:val="22"/>
            <w:lang w:eastAsia="bg-BG"/>
          </w:rPr>
          <w:tab/>
        </w:r>
        <w:r w:rsidR="00F14AA2" w:rsidRPr="00FC77BC">
          <w:rPr>
            <w:rStyle w:val="Hyperlink"/>
          </w:rPr>
          <w:t>НАСОКИ ЗА КАНДИДАТСТВАНЕ</w:t>
        </w:r>
        <w:r w:rsidR="00F14AA2">
          <w:rPr>
            <w:webHidden/>
          </w:rPr>
          <w:tab/>
        </w:r>
        <w:r w:rsidR="00F14AA2">
          <w:rPr>
            <w:webHidden/>
          </w:rPr>
          <w:fldChar w:fldCharType="begin"/>
        </w:r>
        <w:r w:rsidR="00F14AA2">
          <w:rPr>
            <w:webHidden/>
          </w:rPr>
          <w:instrText xml:space="preserve"> PAGEREF _Toc24983828 \h </w:instrText>
        </w:r>
        <w:r w:rsidR="00F14AA2">
          <w:rPr>
            <w:webHidden/>
          </w:rPr>
        </w:r>
        <w:r w:rsidR="00F14AA2">
          <w:rPr>
            <w:webHidden/>
          </w:rPr>
          <w:fldChar w:fldCharType="separate"/>
        </w:r>
        <w:r w:rsidR="003F3FAD">
          <w:rPr>
            <w:webHidden/>
          </w:rPr>
          <w:t>11</w:t>
        </w:r>
        <w:r w:rsidR="00F14AA2">
          <w:rPr>
            <w:webHidden/>
          </w:rPr>
          <w:fldChar w:fldCharType="end"/>
        </w:r>
      </w:hyperlink>
    </w:p>
    <w:p w14:paraId="33FE9389" w14:textId="77777777" w:rsidR="00F14AA2" w:rsidRDefault="00194001">
      <w:pPr>
        <w:pStyle w:val="TOC1"/>
        <w:rPr>
          <w:rFonts w:asciiTheme="minorHAnsi" w:eastAsiaTheme="minorEastAsia" w:hAnsiTheme="minorHAnsi" w:cstheme="minorBidi"/>
          <w:b w:val="0"/>
          <w:sz w:val="22"/>
          <w:lang w:eastAsia="bg-BG"/>
        </w:rPr>
      </w:pPr>
      <w:hyperlink w:anchor="_Toc24983829" w:history="1">
        <w:r w:rsidR="00F14AA2" w:rsidRPr="00FC77BC">
          <w:rPr>
            <w:rStyle w:val="Hyperlink"/>
          </w:rPr>
          <w:t>8.</w:t>
        </w:r>
        <w:r w:rsidR="00F14AA2">
          <w:rPr>
            <w:rFonts w:asciiTheme="minorHAnsi" w:eastAsiaTheme="minorEastAsia" w:hAnsiTheme="minorHAnsi" w:cstheme="minorBidi"/>
            <w:b w:val="0"/>
            <w:sz w:val="22"/>
            <w:lang w:eastAsia="bg-BG"/>
          </w:rPr>
          <w:tab/>
        </w:r>
        <w:r w:rsidR="00F14AA2" w:rsidRPr="00FC77BC">
          <w:rPr>
            <w:rStyle w:val="Hyperlink"/>
          </w:rPr>
          <w:t>ДОПУСТИМИ КАНДИДАТИ</w:t>
        </w:r>
        <w:r w:rsidR="00F14AA2">
          <w:rPr>
            <w:webHidden/>
          </w:rPr>
          <w:tab/>
        </w:r>
        <w:r w:rsidR="00F14AA2">
          <w:rPr>
            <w:webHidden/>
          </w:rPr>
          <w:fldChar w:fldCharType="begin"/>
        </w:r>
        <w:r w:rsidR="00F14AA2">
          <w:rPr>
            <w:webHidden/>
          </w:rPr>
          <w:instrText xml:space="preserve"> PAGEREF _Toc24983829 \h </w:instrText>
        </w:r>
        <w:r w:rsidR="00F14AA2">
          <w:rPr>
            <w:webHidden/>
          </w:rPr>
        </w:r>
        <w:r w:rsidR="00F14AA2">
          <w:rPr>
            <w:webHidden/>
          </w:rPr>
          <w:fldChar w:fldCharType="separate"/>
        </w:r>
        <w:r w:rsidR="003F3FAD">
          <w:rPr>
            <w:webHidden/>
          </w:rPr>
          <w:t>12</w:t>
        </w:r>
        <w:r w:rsidR="00F14AA2">
          <w:rPr>
            <w:webHidden/>
          </w:rPr>
          <w:fldChar w:fldCharType="end"/>
        </w:r>
      </w:hyperlink>
    </w:p>
    <w:p w14:paraId="486ECC5B" w14:textId="77777777" w:rsidR="00F14AA2" w:rsidRDefault="00194001">
      <w:pPr>
        <w:pStyle w:val="TOC2"/>
        <w:rPr>
          <w:rFonts w:asciiTheme="minorHAnsi" w:eastAsiaTheme="minorEastAsia" w:hAnsiTheme="minorHAnsi" w:cstheme="minorBidi"/>
          <w:sz w:val="22"/>
          <w:lang w:eastAsia="bg-BG"/>
        </w:rPr>
      </w:pPr>
      <w:hyperlink w:anchor="_Toc24983830" w:history="1">
        <w:r w:rsidR="00F14AA2" w:rsidRPr="00FC77BC">
          <w:rPr>
            <w:rStyle w:val="Hyperlink"/>
          </w:rPr>
          <w:t>8.1.</w:t>
        </w:r>
        <w:r w:rsidR="00F14AA2">
          <w:rPr>
            <w:rFonts w:asciiTheme="minorHAnsi" w:eastAsiaTheme="minorEastAsia" w:hAnsiTheme="minorHAnsi" w:cstheme="minorBidi"/>
            <w:sz w:val="22"/>
            <w:lang w:eastAsia="bg-BG"/>
          </w:rPr>
          <w:tab/>
        </w:r>
        <w:r w:rsidR="00F14AA2" w:rsidRPr="00FC77BC">
          <w:rPr>
            <w:rStyle w:val="Hyperlink"/>
          </w:rPr>
          <w:t>КРИТЕРИИ ЗА ДОПУСТИМОСТ НА КАНДИДАТИТЕ</w:t>
        </w:r>
        <w:r w:rsidR="00F14AA2">
          <w:rPr>
            <w:webHidden/>
          </w:rPr>
          <w:tab/>
        </w:r>
        <w:r w:rsidR="00F14AA2">
          <w:rPr>
            <w:webHidden/>
          </w:rPr>
          <w:fldChar w:fldCharType="begin"/>
        </w:r>
        <w:r w:rsidR="00F14AA2">
          <w:rPr>
            <w:webHidden/>
          </w:rPr>
          <w:instrText xml:space="preserve"> PAGEREF _Toc24983830 \h </w:instrText>
        </w:r>
        <w:r w:rsidR="00F14AA2">
          <w:rPr>
            <w:webHidden/>
          </w:rPr>
        </w:r>
        <w:r w:rsidR="00F14AA2">
          <w:rPr>
            <w:webHidden/>
          </w:rPr>
          <w:fldChar w:fldCharType="separate"/>
        </w:r>
        <w:r w:rsidR="003F3FAD">
          <w:rPr>
            <w:webHidden/>
          </w:rPr>
          <w:t>12</w:t>
        </w:r>
        <w:r w:rsidR="00F14AA2">
          <w:rPr>
            <w:webHidden/>
          </w:rPr>
          <w:fldChar w:fldCharType="end"/>
        </w:r>
      </w:hyperlink>
    </w:p>
    <w:p w14:paraId="5DA293E0" w14:textId="77777777" w:rsidR="00F14AA2" w:rsidRDefault="00194001">
      <w:pPr>
        <w:pStyle w:val="TOC2"/>
        <w:rPr>
          <w:rFonts w:asciiTheme="minorHAnsi" w:eastAsiaTheme="minorEastAsia" w:hAnsiTheme="minorHAnsi" w:cstheme="minorBidi"/>
          <w:sz w:val="22"/>
          <w:lang w:eastAsia="bg-BG"/>
        </w:rPr>
      </w:pPr>
      <w:hyperlink w:anchor="_Toc24983831" w:history="1">
        <w:r w:rsidR="00F14AA2" w:rsidRPr="00FC77BC">
          <w:rPr>
            <w:rStyle w:val="Hyperlink"/>
          </w:rPr>
          <w:t>8.2.</w:t>
        </w:r>
        <w:r w:rsidR="00F14AA2">
          <w:rPr>
            <w:rFonts w:asciiTheme="minorHAnsi" w:eastAsiaTheme="minorEastAsia" w:hAnsiTheme="minorHAnsi" w:cstheme="minorBidi"/>
            <w:sz w:val="22"/>
            <w:lang w:eastAsia="bg-BG"/>
          </w:rPr>
          <w:tab/>
        </w:r>
        <w:r w:rsidR="00F14AA2" w:rsidRPr="00FC77BC">
          <w:rPr>
            <w:rStyle w:val="Hyperlink"/>
          </w:rPr>
          <w:t>КРИТЕРИИ ЗА НЕДОПУСТИМОСТ НА КАНДИДАТИТЕ</w:t>
        </w:r>
        <w:r w:rsidR="00F14AA2">
          <w:rPr>
            <w:webHidden/>
          </w:rPr>
          <w:tab/>
        </w:r>
        <w:r w:rsidR="00F14AA2">
          <w:rPr>
            <w:webHidden/>
          </w:rPr>
          <w:fldChar w:fldCharType="begin"/>
        </w:r>
        <w:r w:rsidR="00F14AA2">
          <w:rPr>
            <w:webHidden/>
          </w:rPr>
          <w:instrText xml:space="preserve"> PAGEREF _Toc24983831 \h </w:instrText>
        </w:r>
        <w:r w:rsidR="00F14AA2">
          <w:rPr>
            <w:webHidden/>
          </w:rPr>
        </w:r>
        <w:r w:rsidR="00F14AA2">
          <w:rPr>
            <w:webHidden/>
          </w:rPr>
          <w:fldChar w:fldCharType="separate"/>
        </w:r>
        <w:r w:rsidR="003F3FAD">
          <w:rPr>
            <w:webHidden/>
          </w:rPr>
          <w:t>12</w:t>
        </w:r>
        <w:r w:rsidR="00F14AA2">
          <w:rPr>
            <w:webHidden/>
          </w:rPr>
          <w:fldChar w:fldCharType="end"/>
        </w:r>
      </w:hyperlink>
    </w:p>
    <w:p w14:paraId="410FE9E4" w14:textId="77777777" w:rsidR="00F14AA2" w:rsidRDefault="00194001">
      <w:pPr>
        <w:pStyle w:val="TOC2"/>
        <w:rPr>
          <w:rFonts w:asciiTheme="minorHAnsi" w:eastAsiaTheme="minorEastAsia" w:hAnsiTheme="minorHAnsi" w:cstheme="minorBidi"/>
          <w:sz w:val="22"/>
          <w:lang w:eastAsia="bg-BG"/>
        </w:rPr>
      </w:pPr>
      <w:hyperlink w:anchor="_Toc24983832" w:history="1">
        <w:r w:rsidR="00F14AA2" w:rsidRPr="00FC77BC">
          <w:rPr>
            <w:rStyle w:val="Hyperlink"/>
          </w:rPr>
          <w:t>8.3.</w:t>
        </w:r>
        <w:r w:rsidR="00F14AA2">
          <w:rPr>
            <w:rFonts w:asciiTheme="minorHAnsi" w:eastAsiaTheme="minorEastAsia" w:hAnsiTheme="minorHAnsi" w:cstheme="minorBidi"/>
            <w:sz w:val="22"/>
            <w:lang w:eastAsia="bg-BG"/>
          </w:rPr>
          <w:tab/>
        </w:r>
        <w:r w:rsidR="00F14AA2" w:rsidRPr="00FC77BC">
          <w:rPr>
            <w:rStyle w:val="Hyperlink"/>
          </w:rPr>
          <w:t>ДОКАЗАТЕЛСТВА ЗА УСТАНОВЯВАНЕ НА ДОПУСТИМОСТ НА КАНДИДАТА</w:t>
        </w:r>
        <w:r w:rsidR="00F14AA2">
          <w:rPr>
            <w:webHidden/>
          </w:rPr>
          <w:tab/>
        </w:r>
        <w:r w:rsidR="00F14AA2">
          <w:rPr>
            <w:webHidden/>
          </w:rPr>
          <w:fldChar w:fldCharType="begin"/>
        </w:r>
        <w:r w:rsidR="00F14AA2">
          <w:rPr>
            <w:webHidden/>
          </w:rPr>
          <w:instrText xml:space="preserve"> PAGEREF _Toc24983832 \h </w:instrText>
        </w:r>
        <w:r w:rsidR="00F14AA2">
          <w:rPr>
            <w:webHidden/>
          </w:rPr>
        </w:r>
        <w:r w:rsidR="00F14AA2">
          <w:rPr>
            <w:webHidden/>
          </w:rPr>
          <w:fldChar w:fldCharType="separate"/>
        </w:r>
        <w:r w:rsidR="003F3FAD">
          <w:rPr>
            <w:webHidden/>
          </w:rPr>
          <w:t>12</w:t>
        </w:r>
        <w:r w:rsidR="00F14AA2">
          <w:rPr>
            <w:webHidden/>
          </w:rPr>
          <w:fldChar w:fldCharType="end"/>
        </w:r>
      </w:hyperlink>
    </w:p>
    <w:p w14:paraId="1A8CB0CA" w14:textId="77777777" w:rsidR="00F14AA2" w:rsidRDefault="00194001">
      <w:pPr>
        <w:pStyle w:val="TOC1"/>
        <w:rPr>
          <w:rFonts w:asciiTheme="minorHAnsi" w:eastAsiaTheme="minorEastAsia" w:hAnsiTheme="minorHAnsi" w:cstheme="minorBidi"/>
          <w:b w:val="0"/>
          <w:sz w:val="22"/>
          <w:lang w:eastAsia="bg-BG"/>
        </w:rPr>
      </w:pPr>
      <w:hyperlink w:anchor="_Toc24983833" w:history="1">
        <w:r w:rsidR="00F14AA2" w:rsidRPr="00FC77BC">
          <w:rPr>
            <w:rStyle w:val="Hyperlink"/>
          </w:rPr>
          <w:t>9.</w:t>
        </w:r>
        <w:r w:rsidR="00F14AA2">
          <w:rPr>
            <w:rFonts w:asciiTheme="minorHAnsi" w:eastAsiaTheme="minorEastAsia" w:hAnsiTheme="minorHAnsi" w:cstheme="minorBidi"/>
            <w:b w:val="0"/>
            <w:sz w:val="22"/>
            <w:lang w:eastAsia="bg-BG"/>
          </w:rPr>
          <w:tab/>
        </w:r>
        <w:r w:rsidR="00F14AA2" w:rsidRPr="00FC77BC">
          <w:rPr>
            <w:rStyle w:val="Hyperlink"/>
          </w:rPr>
          <w:t>ДОПУСТИМИ ПАРТНЬОРИ</w:t>
        </w:r>
        <w:r w:rsidR="00F14AA2">
          <w:rPr>
            <w:webHidden/>
          </w:rPr>
          <w:tab/>
        </w:r>
        <w:r w:rsidR="00F14AA2">
          <w:rPr>
            <w:webHidden/>
          </w:rPr>
          <w:fldChar w:fldCharType="begin"/>
        </w:r>
        <w:r w:rsidR="00F14AA2">
          <w:rPr>
            <w:webHidden/>
          </w:rPr>
          <w:instrText xml:space="preserve"> PAGEREF _Toc24983833 \h </w:instrText>
        </w:r>
        <w:r w:rsidR="00F14AA2">
          <w:rPr>
            <w:webHidden/>
          </w:rPr>
        </w:r>
        <w:r w:rsidR="00F14AA2">
          <w:rPr>
            <w:webHidden/>
          </w:rPr>
          <w:fldChar w:fldCharType="separate"/>
        </w:r>
        <w:r w:rsidR="003F3FAD">
          <w:rPr>
            <w:webHidden/>
          </w:rPr>
          <w:t>13</w:t>
        </w:r>
        <w:r w:rsidR="00F14AA2">
          <w:rPr>
            <w:webHidden/>
          </w:rPr>
          <w:fldChar w:fldCharType="end"/>
        </w:r>
      </w:hyperlink>
    </w:p>
    <w:p w14:paraId="2266EA82" w14:textId="77777777" w:rsidR="00F14AA2" w:rsidRDefault="00194001">
      <w:pPr>
        <w:pStyle w:val="TOC2"/>
        <w:rPr>
          <w:rFonts w:asciiTheme="minorHAnsi" w:eastAsiaTheme="minorEastAsia" w:hAnsiTheme="minorHAnsi" w:cstheme="minorBidi"/>
          <w:sz w:val="22"/>
          <w:lang w:eastAsia="bg-BG"/>
        </w:rPr>
      </w:pPr>
      <w:hyperlink w:anchor="_Toc24983834" w:history="1">
        <w:r w:rsidR="00F14AA2" w:rsidRPr="00FC77BC">
          <w:rPr>
            <w:rStyle w:val="Hyperlink"/>
          </w:rPr>
          <w:t>9.1.</w:t>
        </w:r>
        <w:r w:rsidR="00F14AA2">
          <w:rPr>
            <w:rFonts w:asciiTheme="minorHAnsi" w:eastAsiaTheme="minorEastAsia" w:hAnsiTheme="minorHAnsi" w:cstheme="minorBidi"/>
            <w:sz w:val="22"/>
            <w:lang w:eastAsia="bg-BG"/>
          </w:rPr>
          <w:tab/>
        </w:r>
        <w:r w:rsidR="00F14AA2" w:rsidRPr="00FC77BC">
          <w:rPr>
            <w:rStyle w:val="Hyperlink"/>
          </w:rPr>
          <w:t>КРИТЕРИИ ЗА ДОПУСТИМОСТ НА ПАРТНЬОРИТЕ</w:t>
        </w:r>
        <w:r w:rsidR="00F14AA2">
          <w:rPr>
            <w:webHidden/>
          </w:rPr>
          <w:tab/>
        </w:r>
        <w:r w:rsidR="00F14AA2">
          <w:rPr>
            <w:webHidden/>
          </w:rPr>
          <w:fldChar w:fldCharType="begin"/>
        </w:r>
        <w:r w:rsidR="00F14AA2">
          <w:rPr>
            <w:webHidden/>
          </w:rPr>
          <w:instrText xml:space="preserve"> PAGEREF _Toc24983834 \h </w:instrText>
        </w:r>
        <w:r w:rsidR="00F14AA2">
          <w:rPr>
            <w:webHidden/>
          </w:rPr>
        </w:r>
        <w:r w:rsidR="00F14AA2">
          <w:rPr>
            <w:webHidden/>
          </w:rPr>
          <w:fldChar w:fldCharType="separate"/>
        </w:r>
        <w:r w:rsidR="003F3FAD">
          <w:rPr>
            <w:webHidden/>
          </w:rPr>
          <w:t>13</w:t>
        </w:r>
        <w:r w:rsidR="00F14AA2">
          <w:rPr>
            <w:webHidden/>
          </w:rPr>
          <w:fldChar w:fldCharType="end"/>
        </w:r>
      </w:hyperlink>
    </w:p>
    <w:p w14:paraId="613F4EBF" w14:textId="77777777" w:rsidR="00F14AA2" w:rsidRDefault="00194001">
      <w:pPr>
        <w:pStyle w:val="TOC2"/>
        <w:rPr>
          <w:rFonts w:asciiTheme="minorHAnsi" w:eastAsiaTheme="minorEastAsia" w:hAnsiTheme="minorHAnsi" w:cstheme="minorBidi"/>
          <w:sz w:val="22"/>
          <w:lang w:eastAsia="bg-BG"/>
        </w:rPr>
      </w:pPr>
      <w:hyperlink w:anchor="_Toc24983835" w:history="1">
        <w:r w:rsidR="00F14AA2" w:rsidRPr="00FC77BC">
          <w:rPr>
            <w:rStyle w:val="Hyperlink"/>
          </w:rPr>
          <w:t>9.2.</w:t>
        </w:r>
        <w:r w:rsidR="00F14AA2">
          <w:rPr>
            <w:rFonts w:asciiTheme="minorHAnsi" w:eastAsiaTheme="minorEastAsia" w:hAnsiTheme="minorHAnsi" w:cstheme="minorBidi"/>
            <w:sz w:val="22"/>
            <w:lang w:eastAsia="bg-BG"/>
          </w:rPr>
          <w:tab/>
        </w:r>
        <w:r w:rsidR="00F14AA2" w:rsidRPr="00FC77BC">
          <w:rPr>
            <w:rStyle w:val="Hyperlink"/>
          </w:rPr>
          <w:t>КРИТЕРИИ ЗА НЕДОПУСТИМОСТ НА ПАРТНЬОРИТЕ</w:t>
        </w:r>
        <w:r w:rsidR="00F14AA2">
          <w:rPr>
            <w:webHidden/>
          </w:rPr>
          <w:tab/>
        </w:r>
        <w:r w:rsidR="00F14AA2">
          <w:rPr>
            <w:webHidden/>
          </w:rPr>
          <w:fldChar w:fldCharType="begin"/>
        </w:r>
        <w:r w:rsidR="00F14AA2">
          <w:rPr>
            <w:webHidden/>
          </w:rPr>
          <w:instrText xml:space="preserve"> PAGEREF _Toc24983835 \h </w:instrText>
        </w:r>
        <w:r w:rsidR="00F14AA2">
          <w:rPr>
            <w:webHidden/>
          </w:rPr>
        </w:r>
        <w:r w:rsidR="00F14AA2">
          <w:rPr>
            <w:webHidden/>
          </w:rPr>
          <w:fldChar w:fldCharType="separate"/>
        </w:r>
        <w:r w:rsidR="003F3FAD">
          <w:rPr>
            <w:webHidden/>
          </w:rPr>
          <w:t>14</w:t>
        </w:r>
        <w:r w:rsidR="00F14AA2">
          <w:rPr>
            <w:webHidden/>
          </w:rPr>
          <w:fldChar w:fldCharType="end"/>
        </w:r>
      </w:hyperlink>
    </w:p>
    <w:p w14:paraId="54BCE734" w14:textId="77777777" w:rsidR="00F14AA2" w:rsidRDefault="00194001">
      <w:pPr>
        <w:pStyle w:val="TOC2"/>
        <w:rPr>
          <w:rFonts w:asciiTheme="minorHAnsi" w:eastAsiaTheme="minorEastAsia" w:hAnsiTheme="minorHAnsi" w:cstheme="minorBidi"/>
          <w:sz w:val="22"/>
          <w:lang w:eastAsia="bg-BG"/>
        </w:rPr>
      </w:pPr>
      <w:hyperlink w:anchor="_Toc24983836" w:history="1">
        <w:r w:rsidR="00F14AA2" w:rsidRPr="00FC77BC">
          <w:rPr>
            <w:rStyle w:val="Hyperlink"/>
          </w:rPr>
          <w:t>9.3.</w:t>
        </w:r>
        <w:r w:rsidR="00F14AA2">
          <w:rPr>
            <w:rFonts w:asciiTheme="minorHAnsi" w:eastAsiaTheme="minorEastAsia" w:hAnsiTheme="minorHAnsi" w:cstheme="minorBidi"/>
            <w:sz w:val="22"/>
            <w:lang w:eastAsia="bg-BG"/>
          </w:rPr>
          <w:tab/>
        </w:r>
        <w:r w:rsidR="00F14AA2" w:rsidRPr="00FC77BC">
          <w:rPr>
            <w:rStyle w:val="Hyperlink"/>
          </w:rPr>
          <w:t>ДОКАЗАТЕЛСТВА ЗА УСТАНОВЯВАНЕ НА ДОПУСТИМОСТ</w:t>
        </w:r>
        <w:r w:rsidR="00F14AA2">
          <w:rPr>
            <w:webHidden/>
          </w:rPr>
          <w:tab/>
        </w:r>
        <w:r w:rsidR="00F14AA2">
          <w:rPr>
            <w:webHidden/>
          </w:rPr>
          <w:fldChar w:fldCharType="begin"/>
        </w:r>
        <w:r w:rsidR="00F14AA2">
          <w:rPr>
            <w:webHidden/>
          </w:rPr>
          <w:instrText xml:space="preserve"> PAGEREF _Toc24983836 \h </w:instrText>
        </w:r>
        <w:r w:rsidR="00F14AA2">
          <w:rPr>
            <w:webHidden/>
          </w:rPr>
        </w:r>
        <w:r w:rsidR="00F14AA2">
          <w:rPr>
            <w:webHidden/>
          </w:rPr>
          <w:fldChar w:fldCharType="separate"/>
        </w:r>
        <w:r w:rsidR="003F3FAD">
          <w:rPr>
            <w:webHidden/>
          </w:rPr>
          <w:t>14</w:t>
        </w:r>
        <w:r w:rsidR="00F14AA2">
          <w:rPr>
            <w:webHidden/>
          </w:rPr>
          <w:fldChar w:fldCharType="end"/>
        </w:r>
      </w:hyperlink>
    </w:p>
    <w:p w14:paraId="6DFE8C5B" w14:textId="77777777" w:rsidR="00F14AA2" w:rsidRDefault="00194001">
      <w:pPr>
        <w:pStyle w:val="TOC1"/>
        <w:rPr>
          <w:rFonts w:asciiTheme="minorHAnsi" w:eastAsiaTheme="minorEastAsia" w:hAnsiTheme="minorHAnsi" w:cstheme="minorBidi"/>
          <w:b w:val="0"/>
          <w:sz w:val="22"/>
          <w:lang w:eastAsia="bg-BG"/>
        </w:rPr>
      </w:pPr>
      <w:hyperlink w:anchor="_Toc24983837" w:history="1">
        <w:r w:rsidR="00F14AA2" w:rsidRPr="00FC77BC">
          <w:rPr>
            <w:rStyle w:val="Hyperlink"/>
          </w:rPr>
          <w:t>10.</w:t>
        </w:r>
        <w:r w:rsidR="00F14AA2">
          <w:rPr>
            <w:rFonts w:asciiTheme="minorHAnsi" w:eastAsiaTheme="minorEastAsia" w:hAnsiTheme="minorHAnsi" w:cstheme="minorBidi"/>
            <w:b w:val="0"/>
            <w:sz w:val="22"/>
            <w:lang w:eastAsia="bg-BG"/>
          </w:rPr>
          <w:tab/>
        </w:r>
        <w:r w:rsidR="00F14AA2" w:rsidRPr="00FC77BC">
          <w:rPr>
            <w:rStyle w:val="Hyperlink"/>
          </w:rPr>
          <w:t>ДОПУСТИМИ ПРОЕКТИ</w:t>
        </w:r>
        <w:r w:rsidR="00F14AA2">
          <w:rPr>
            <w:webHidden/>
          </w:rPr>
          <w:tab/>
        </w:r>
        <w:r w:rsidR="00F14AA2">
          <w:rPr>
            <w:webHidden/>
          </w:rPr>
          <w:fldChar w:fldCharType="begin"/>
        </w:r>
        <w:r w:rsidR="00F14AA2">
          <w:rPr>
            <w:webHidden/>
          </w:rPr>
          <w:instrText xml:space="preserve"> PAGEREF _Toc24983837 \h </w:instrText>
        </w:r>
        <w:r w:rsidR="00F14AA2">
          <w:rPr>
            <w:webHidden/>
          </w:rPr>
        </w:r>
        <w:r w:rsidR="00F14AA2">
          <w:rPr>
            <w:webHidden/>
          </w:rPr>
          <w:fldChar w:fldCharType="separate"/>
        </w:r>
        <w:r w:rsidR="003F3FAD">
          <w:rPr>
            <w:webHidden/>
          </w:rPr>
          <w:t>14</w:t>
        </w:r>
        <w:r w:rsidR="00F14AA2">
          <w:rPr>
            <w:webHidden/>
          </w:rPr>
          <w:fldChar w:fldCharType="end"/>
        </w:r>
      </w:hyperlink>
    </w:p>
    <w:p w14:paraId="595B706D" w14:textId="77777777" w:rsidR="00F14AA2" w:rsidRDefault="00194001">
      <w:pPr>
        <w:pStyle w:val="TOC1"/>
        <w:rPr>
          <w:rFonts w:asciiTheme="minorHAnsi" w:eastAsiaTheme="minorEastAsia" w:hAnsiTheme="minorHAnsi" w:cstheme="minorBidi"/>
          <w:b w:val="0"/>
          <w:sz w:val="22"/>
          <w:lang w:eastAsia="bg-BG"/>
        </w:rPr>
      </w:pPr>
      <w:hyperlink w:anchor="_Toc24983839" w:history="1">
        <w:r w:rsidR="00F14AA2" w:rsidRPr="00FC77BC">
          <w:rPr>
            <w:rStyle w:val="Hyperlink"/>
          </w:rPr>
          <w:t>11.</w:t>
        </w:r>
        <w:r w:rsidR="00F14AA2">
          <w:rPr>
            <w:rFonts w:asciiTheme="minorHAnsi" w:eastAsiaTheme="minorEastAsia" w:hAnsiTheme="minorHAnsi" w:cstheme="minorBidi"/>
            <w:b w:val="0"/>
            <w:sz w:val="22"/>
            <w:lang w:eastAsia="bg-BG"/>
          </w:rPr>
          <w:tab/>
        </w:r>
        <w:r w:rsidR="00F14AA2" w:rsidRPr="00FC77BC">
          <w:rPr>
            <w:rStyle w:val="Hyperlink"/>
          </w:rPr>
          <w:t>ТЕРИТОРИАЛЕН ОБХВАТ И МЯСТО НА ИЗПЪЛНЕНИЕ</w:t>
        </w:r>
        <w:r w:rsidR="00F14AA2">
          <w:rPr>
            <w:webHidden/>
          </w:rPr>
          <w:tab/>
        </w:r>
        <w:r w:rsidR="00F14AA2">
          <w:rPr>
            <w:webHidden/>
          </w:rPr>
          <w:fldChar w:fldCharType="begin"/>
        </w:r>
        <w:r w:rsidR="00F14AA2">
          <w:rPr>
            <w:webHidden/>
          </w:rPr>
          <w:instrText xml:space="preserve"> PAGEREF _Toc24983839 \h </w:instrText>
        </w:r>
        <w:r w:rsidR="00F14AA2">
          <w:rPr>
            <w:webHidden/>
          </w:rPr>
        </w:r>
        <w:r w:rsidR="00F14AA2">
          <w:rPr>
            <w:webHidden/>
          </w:rPr>
          <w:fldChar w:fldCharType="separate"/>
        </w:r>
        <w:r w:rsidR="003F3FAD">
          <w:rPr>
            <w:webHidden/>
          </w:rPr>
          <w:t>20</w:t>
        </w:r>
        <w:r w:rsidR="00F14AA2">
          <w:rPr>
            <w:webHidden/>
          </w:rPr>
          <w:fldChar w:fldCharType="end"/>
        </w:r>
      </w:hyperlink>
    </w:p>
    <w:p w14:paraId="23F4D8B2" w14:textId="77777777" w:rsidR="00F14AA2" w:rsidRDefault="00194001">
      <w:pPr>
        <w:pStyle w:val="TOC1"/>
        <w:rPr>
          <w:rFonts w:asciiTheme="minorHAnsi" w:eastAsiaTheme="minorEastAsia" w:hAnsiTheme="minorHAnsi" w:cstheme="minorBidi"/>
          <w:b w:val="0"/>
          <w:sz w:val="22"/>
          <w:lang w:eastAsia="bg-BG"/>
        </w:rPr>
      </w:pPr>
      <w:hyperlink w:anchor="_Toc24983840" w:history="1">
        <w:r w:rsidR="00F14AA2" w:rsidRPr="00FC77BC">
          <w:rPr>
            <w:rStyle w:val="Hyperlink"/>
          </w:rPr>
          <w:t>12.</w:t>
        </w:r>
        <w:r w:rsidR="00F14AA2">
          <w:rPr>
            <w:rFonts w:asciiTheme="minorHAnsi" w:eastAsiaTheme="minorEastAsia" w:hAnsiTheme="minorHAnsi" w:cstheme="minorBidi"/>
            <w:b w:val="0"/>
            <w:sz w:val="22"/>
            <w:lang w:eastAsia="bg-BG"/>
          </w:rPr>
          <w:tab/>
        </w:r>
        <w:r w:rsidR="00F14AA2" w:rsidRPr="00FC77BC">
          <w:rPr>
            <w:rStyle w:val="Hyperlink"/>
          </w:rPr>
          <w:t>ДЕЙНОСТИ, ДОПУСТИМИ ЗА ФИНАНСИРАНЕ</w:t>
        </w:r>
        <w:r w:rsidR="00F14AA2">
          <w:rPr>
            <w:webHidden/>
          </w:rPr>
          <w:tab/>
        </w:r>
        <w:r w:rsidR="00F14AA2">
          <w:rPr>
            <w:webHidden/>
          </w:rPr>
          <w:fldChar w:fldCharType="begin"/>
        </w:r>
        <w:r w:rsidR="00F14AA2">
          <w:rPr>
            <w:webHidden/>
          </w:rPr>
          <w:instrText xml:space="preserve"> PAGEREF _Toc24983840 \h </w:instrText>
        </w:r>
        <w:r w:rsidR="00F14AA2">
          <w:rPr>
            <w:webHidden/>
          </w:rPr>
        </w:r>
        <w:r w:rsidR="00F14AA2">
          <w:rPr>
            <w:webHidden/>
          </w:rPr>
          <w:fldChar w:fldCharType="separate"/>
        </w:r>
        <w:r w:rsidR="003F3FAD">
          <w:rPr>
            <w:webHidden/>
          </w:rPr>
          <w:t>20</w:t>
        </w:r>
        <w:r w:rsidR="00F14AA2">
          <w:rPr>
            <w:webHidden/>
          </w:rPr>
          <w:fldChar w:fldCharType="end"/>
        </w:r>
      </w:hyperlink>
    </w:p>
    <w:p w14:paraId="0329E901" w14:textId="77777777" w:rsidR="00F14AA2" w:rsidRDefault="00194001">
      <w:pPr>
        <w:pStyle w:val="TOC2"/>
        <w:rPr>
          <w:rFonts w:asciiTheme="minorHAnsi" w:eastAsiaTheme="minorEastAsia" w:hAnsiTheme="minorHAnsi" w:cstheme="minorBidi"/>
          <w:sz w:val="22"/>
          <w:lang w:eastAsia="bg-BG"/>
        </w:rPr>
      </w:pPr>
      <w:hyperlink w:anchor="_Toc24983841" w:history="1">
        <w:r w:rsidR="00F14AA2" w:rsidRPr="00FC77BC">
          <w:rPr>
            <w:rStyle w:val="Hyperlink"/>
          </w:rPr>
          <w:t>12.1.</w:t>
        </w:r>
        <w:r w:rsidR="00F14AA2">
          <w:rPr>
            <w:rFonts w:asciiTheme="minorHAnsi" w:eastAsiaTheme="minorEastAsia" w:hAnsiTheme="minorHAnsi" w:cstheme="minorBidi"/>
            <w:sz w:val="22"/>
            <w:lang w:eastAsia="bg-BG"/>
          </w:rPr>
          <w:tab/>
        </w:r>
        <w:r w:rsidR="00F14AA2" w:rsidRPr="00FC77BC">
          <w:rPr>
            <w:rStyle w:val="Hyperlink"/>
          </w:rPr>
          <w:t>ДОПУСТИМИ ДЕЙНОСТИ</w:t>
        </w:r>
        <w:r w:rsidR="00F14AA2">
          <w:rPr>
            <w:webHidden/>
          </w:rPr>
          <w:tab/>
        </w:r>
        <w:r w:rsidR="00F14AA2">
          <w:rPr>
            <w:webHidden/>
          </w:rPr>
          <w:fldChar w:fldCharType="begin"/>
        </w:r>
        <w:r w:rsidR="00F14AA2">
          <w:rPr>
            <w:webHidden/>
          </w:rPr>
          <w:instrText xml:space="preserve"> PAGEREF _Toc24983841 \h </w:instrText>
        </w:r>
        <w:r w:rsidR="00F14AA2">
          <w:rPr>
            <w:webHidden/>
          </w:rPr>
        </w:r>
        <w:r w:rsidR="00F14AA2">
          <w:rPr>
            <w:webHidden/>
          </w:rPr>
          <w:fldChar w:fldCharType="separate"/>
        </w:r>
        <w:r w:rsidR="003F3FAD">
          <w:rPr>
            <w:webHidden/>
          </w:rPr>
          <w:t>20</w:t>
        </w:r>
        <w:r w:rsidR="00F14AA2">
          <w:rPr>
            <w:webHidden/>
          </w:rPr>
          <w:fldChar w:fldCharType="end"/>
        </w:r>
      </w:hyperlink>
    </w:p>
    <w:p w14:paraId="79DC71A6" w14:textId="77777777" w:rsidR="00F14AA2" w:rsidRDefault="00194001">
      <w:pPr>
        <w:pStyle w:val="TOC2"/>
        <w:rPr>
          <w:rFonts w:asciiTheme="minorHAnsi" w:eastAsiaTheme="minorEastAsia" w:hAnsiTheme="minorHAnsi" w:cstheme="minorBidi"/>
          <w:sz w:val="22"/>
          <w:lang w:eastAsia="bg-BG"/>
        </w:rPr>
      </w:pPr>
      <w:hyperlink w:anchor="_Toc24983842" w:history="1">
        <w:r w:rsidR="00F14AA2" w:rsidRPr="00FC77BC">
          <w:rPr>
            <w:rStyle w:val="Hyperlink"/>
          </w:rPr>
          <w:t>12.2.</w:t>
        </w:r>
        <w:r w:rsidR="00F14AA2">
          <w:rPr>
            <w:rFonts w:asciiTheme="minorHAnsi" w:eastAsiaTheme="minorEastAsia" w:hAnsiTheme="minorHAnsi" w:cstheme="minorBidi"/>
            <w:sz w:val="22"/>
            <w:lang w:eastAsia="bg-BG"/>
          </w:rPr>
          <w:tab/>
        </w:r>
        <w:r w:rsidR="00F14AA2" w:rsidRPr="00FC77BC">
          <w:rPr>
            <w:rStyle w:val="Hyperlink"/>
          </w:rPr>
          <w:t>НЕДОПУСТИМИ ДЕЙНОСТИ</w:t>
        </w:r>
        <w:r w:rsidR="00F14AA2">
          <w:rPr>
            <w:webHidden/>
          </w:rPr>
          <w:tab/>
        </w:r>
        <w:r w:rsidR="00F14AA2">
          <w:rPr>
            <w:webHidden/>
          </w:rPr>
          <w:fldChar w:fldCharType="begin"/>
        </w:r>
        <w:r w:rsidR="00F14AA2">
          <w:rPr>
            <w:webHidden/>
          </w:rPr>
          <w:instrText xml:space="preserve"> PAGEREF _Toc24983842 \h </w:instrText>
        </w:r>
        <w:r w:rsidR="00F14AA2">
          <w:rPr>
            <w:webHidden/>
          </w:rPr>
        </w:r>
        <w:r w:rsidR="00F14AA2">
          <w:rPr>
            <w:webHidden/>
          </w:rPr>
          <w:fldChar w:fldCharType="separate"/>
        </w:r>
        <w:r w:rsidR="003F3FAD">
          <w:rPr>
            <w:webHidden/>
          </w:rPr>
          <w:t>21</w:t>
        </w:r>
        <w:r w:rsidR="00F14AA2">
          <w:rPr>
            <w:webHidden/>
          </w:rPr>
          <w:fldChar w:fldCharType="end"/>
        </w:r>
      </w:hyperlink>
    </w:p>
    <w:p w14:paraId="1900E68B" w14:textId="77777777" w:rsidR="00F14AA2" w:rsidRDefault="00194001">
      <w:pPr>
        <w:pStyle w:val="TOC2"/>
        <w:rPr>
          <w:rFonts w:asciiTheme="minorHAnsi" w:eastAsiaTheme="minorEastAsia" w:hAnsiTheme="minorHAnsi" w:cstheme="minorBidi"/>
          <w:sz w:val="22"/>
          <w:lang w:eastAsia="bg-BG"/>
        </w:rPr>
      </w:pPr>
      <w:hyperlink w:anchor="_Toc24983843" w:history="1">
        <w:r w:rsidR="00F14AA2" w:rsidRPr="00FC77BC">
          <w:rPr>
            <w:rStyle w:val="Hyperlink"/>
          </w:rPr>
          <w:t>12.3.</w:t>
        </w:r>
        <w:r w:rsidR="00F14AA2">
          <w:rPr>
            <w:rFonts w:asciiTheme="minorHAnsi" w:eastAsiaTheme="minorEastAsia" w:hAnsiTheme="minorHAnsi" w:cstheme="minorBidi"/>
            <w:sz w:val="22"/>
            <w:lang w:eastAsia="bg-BG"/>
          </w:rPr>
          <w:tab/>
        </w:r>
        <w:r w:rsidR="00F14AA2" w:rsidRPr="00FC77BC">
          <w:rPr>
            <w:rStyle w:val="Hyperlink"/>
          </w:rPr>
          <w:t>АНАЛИЗ НА РИСКА</w:t>
        </w:r>
        <w:r w:rsidR="00F14AA2">
          <w:rPr>
            <w:webHidden/>
          </w:rPr>
          <w:tab/>
        </w:r>
        <w:r w:rsidR="00F14AA2">
          <w:rPr>
            <w:webHidden/>
          </w:rPr>
          <w:fldChar w:fldCharType="begin"/>
        </w:r>
        <w:r w:rsidR="00F14AA2">
          <w:rPr>
            <w:webHidden/>
          </w:rPr>
          <w:instrText xml:space="preserve"> PAGEREF _Toc24983843 \h </w:instrText>
        </w:r>
        <w:r w:rsidR="00F14AA2">
          <w:rPr>
            <w:webHidden/>
          </w:rPr>
        </w:r>
        <w:r w:rsidR="00F14AA2">
          <w:rPr>
            <w:webHidden/>
          </w:rPr>
          <w:fldChar w:fldCharType="separate"/>
        </w:r>
        <w:r w:rsidR="003F3FAD">
          <w:rPr>
            <w:webHidden/>
          </w:rPr>
          <w:t>22</w:t>
        </w:r>
        <w:r w:rsidR="00F14AA2">
          <w:rPr>
            <w:webHidden/>
          </w:rPr>
          <w:fldChar w:fldCharType="end"/>
        </w:r>
      </w:hyperlink>
    </w:p>
    <w:p w14:paraId="52992901" w14:textId="77777777" w:rsidR="00F14AA2" w:rsidRDefault="00194001">
      <w:pPr>
        <w:pStyle w:val="TOC1"/>
        <w:rPr>
          <w:rFonts w:asciiTheme="minorHAnsi" w:eastAsiaTheme="minorEastAsia" w:hAnsiTheme="minorHAnsi" w:cstheme="minorBidi"/>
          <w:b w:val="0"/>
          <w:sz w:val="22"/>
          <w:lang w:eastAsia="bg-BG"/>
        </w:rPr>
      </w:pPr>
      <w:hyperlink w:anchor="_Toc24983844" w:history="1">
        <w:r w:rsidR="00F14AA2" w:rsidRPr="00FC77BC">
          <w:rPr>
            <w:rStyle w:val="Hyperlink"/>
          </w:rPr>
          <w:t>13.</w:t>
        </w:r>
        <w:r w:rsidR="00F14AA2">
          <w:rPr>
            <w:rFonts w:asciiTheme="minorHAnsi" w:eastAsiaTheme="minorEastAsia" w:hAnsiTheme="minorHAnsi" w:cstheme="minorBidi"/>
            <w:b w:val="0"/>
            <w:sz w:val="22"/>
            <w:lang w:eastAsia="bg-BG"/>
          </w:rPr>
          <w:tab/>
        </w:r>
        <w:r w:rsidR="00F14AA2" w:rsidRPr="00FC77BC">
          <w:rPr>
            <w:rStyle w:val="Hyperlink"/>
          </w:rPr>
          <w:t>КАТЕГОРИИ РАЗХОДИ, ДОПУСТИМИ ЗА ФИНАНСИРАНЕ</w:t>
        </w:r>
        <w:r w:rsidR="00F14AA2">
          <w:rPr>
            <w:webHidden/>
          </w:rPr>
          <w:tab/>
        </w:r>
        <w:r w:rsidR="00F14AA2">
          <w:rPr>
            <w:webHidden/>
          </w:rPr>
          <w:fldChar w:fldCharType="begin"/>
        </w:r>
        <w:r w:rsidR="00F14AA2">
          <w:rPr>
            <w:webHidden/>
          </w:rPr>
          <w:instrText xml:space="preserve"> PAGEREF _Toc24983844 \h </w:instrText>
        </w:r>
        <w:r w:rsidR="00F14AA2">
          <w:rPr>
            <w:webHidden/>
          </w:rPr>
        </w:r>
        <w:r w:rsidR="00F14AA2">
          <w:rPr>
            <w:webHidden/>
          </w:rPr>
          <w:fldChar w:fldCharType="separate"/>
        </w:r>
        <w:r w:rsidR="003F3FAD">
          <w:rPr>
            <w:webHidden/>
          </w:rPr>
          <w:t>23</w:t>
        </w:r>
        <w:r w:rsidR="00F14AA2">
          <w:rPr>
            <w:webHidden/>
          </w:rPr>
          <w:fldChar w:fldCharType="end"/>
        </w:r>
      </w:hyperlink>
    </w:p>
    <w:p w14:paraId="58C6E247" w14:textId="77777777" w:rsidR="00F14AA2" w:rsidRDefault="00194001">
      <w:pPr>
        <w:pStyle w:val="TOC2"/>
        <w:rPr>
          <w:rFonts w:asciiTheme="minorHAnsi" w:eastAsiaTheme="minorEastAsia" w:hAnsiTheme="minorHAnsi" w:cstheme="minorBidi"/>
          <w:sz w:val="22"/>
          <w:lang w:eastAsia="bg-BG"/>
        </w:rPr>
      </w:pPr>
      <w:hyperlink w:anchor="_Toc24983845" w:history="1">
        <w:r w:rsidR="00F14AA2" w:rsidRPr="00FC77BC">
          <w:rPr>
            <w:rStyle w:val="Hyperlink"/>
          </w:rPr>
          <w:t>13.1.</w:t>
        </w:r>
        <w:r w:rsidR="00F14AA2">
          <w:rPr>
            <w:rFonts w:asciiTheme="minorHAnsi" w:eastAsiaTheme="minorEastAsia" w:hAnsiTheme="minorHAnsi" w:cstheme="minorBidi"/>
            <w:sz w:val="22"/>
            <w:lang w:eastAsia="bg-BG"/>
          </w:rPr>
          <w:tab/>
        </w:r>
        <w:r w:rsidR="00F14AA2" w:rsidRPr="00FC77BC">
          <w:rPr>
            <w:rStyle w:val="Hyperlink"/>
          </w:rPr>
          <w:t>УСЛОВИЯ ЗА ДОПУСТИМОСТ НА РАЗХОДИТЕ</w:t>
        </w:r>
        <w:r w:rsidR="00F14AA2">
          <w:rPr>
            <w:webHidden/>
          </w:rPr>
          <w:tab/>
        </w:r>
        <w:r w:rsidR="00F14AA2">
          <w:rPr>
            <w:webHidden/>
          </w:rPr>
          <w:fldChar w:fldCharType="begin"/>
        </w:r>
        <w:r w:rsidR="00F14AA2">
          <w:rPr>
            <w:webHidden/>
          </w:rPr>
          <w:instrText xml:space="preserve"> PAGEREF _Toc24983845 \h </w:instrText>
        </w:r>
        <w:r w:rsidR="00F14AA2">
          <w:rPr>
            <w:webHidden/>
          </w:rPr>
        </w:r>
        <w:r w:rsidR="00F14AA2">
          <w:rPr>
            <w:webHidden/>
          </w:rPr>
          <w:fldChar w:fldCharType="separate"/>
        </w:r>
        <w:r w:rsidR="003F3FAD">
          <w:rPr>
            <w:webHidden/>
          </w:rPr>
          <w:t>23</w:t>
        </w:r>
        <w:r w:rsidR="00F14AA2">
          <w:rPr>
            <w:webHidden/>
          </w:rPr>
          <w:fldChar w:fldCharType="end"/>
        </w:r>
      </w:hyperlink>
    </w:p>
    <w:p w14:paraId="60E3B29B" w14:textId="77777777" w:rsidR="00F14AA2" w:rsidRDefault="00194001">
      <w:pPr>
        <w:pStyle w:val="TOC2"/>
        <w:rPr>
          <w:rFonts w:asciiTheme="minorHAnsi" w:eastAsiaTheme="minorEastAsia" w:hAnsiTheme="minorHAnsi" w:cstheme="minorBidi"/>
          <w:sz w:val="22"/>
          <w:lang w:eastAsia="bg-BG"/>
        </w:rPr>
      </w:pPr>
      <w:hyperlink w:anchor="_Toc24983846" w:history="1">
        <w:r w:rsidR="00F14AA2" w:rsidRPr="00FC77BC">
          <w:rPr>
            <w:rStyle w:val="Hyperlink"/>
          </w:rPr>
          <w:t>13.2.</w:t>
        </w:r>
        <w:r w:rsidR="00F14AA2">
          <w:rPr>
            <w:rFonts w:asciiTheme="minorHAnsi" w:eastAsiaTheme="minorEastAsia" w:hAnsiTheme="minorHAnsi" w:cstheme="minorBidi"/>
            <w:sz w:val="22"/>
            <w:lang w:eastAsia="bg-BG"/>
          </w:rPr>
          <w:tab/>
        </w:r>
        <w:r w:rsidR="00F14AA2" w:rsidRPr="00FC77BC">
          <w:rPr>
            <w:rStyle w:val="Hyperlink"/>
          </w:rPr>
          <w:t>ДОПУСТИМИ РАЗХОДИ</w:t>
        </w:r>
        <w:r w:rsidR="00F14AA2">
          <w:rPr>
            <w:webHidden/>
          </w:rPr>
          <w:tab/>
        </w:r>
        <w:r w:rsidR="00F14AA2">
          <w:rPr>
            <w:webHidden/>
          </w:rPr>
          <w:fldChar w:fldCharType="begin"/>
        </w:r>
        <w:r w:rsidR="00F14AA2">
          <w:rPr>
            <w:webHidden/>
          </w:rPr>
          <w:instrText xml:space="preserve"> PAGEREF _Toc24983846 \h </w:instrText>
        </w:r>
        <w:r w:rsidR="00F14AA2">
          <w:rPr>
            <w:webHidden/>
          </w:rPr>
        </w:r>
        <w:r w:rsidR="00F14AA2">
          <w:rPr>
            <w:webHidden/>
          </w:rPr>
          <w:fldChar w:fldCharType="separate"/>
        </w:r>
        <w:r w:rsidR="003F3FAD">
          <w:rPr>
            <w:webHidden/>
          </w:rPr>
          <w:t>25</w:t>
        </w:r>
        <w:r w:rsidR="00F14AA2">
          <w:rPr>
            <w:webHidden/>
          </w:rPr>
          <w:fldChar w:fldCharType="end"/>
        </w:r>
      </w:hyperlink>
    </w:p>
    <w:p w14:paraId="1A47C4F8" w14:textId="77777777" w:rsidR="00F14AA2" w:rsidRDefault="00194001">
      <w:pPr>
        <w:pStyle w:val="TOC3"/>
        <w:tabs>
          <w:tab w:val="left" w:pos="1320"/>
          <w:tab w:val="right" w:leader="dot" w:pos="9770"/>
        </w:tabs>
        <w:rPr>
          <w:rFonts w:asciiTheme="minorHAnsi" w:eastAsiaTheme="minorEastAsia" w:hAnsiTheme="minorHAnsi" w:cstheme="minorBidi"/>
          <w:noProof/>
          <w:sz w:val="22"/>
        </w:rPr>
      </w:pPr>
      <w:hyperlink w:anchor="_Toc24983847" w:history="1">
        <w:r w:rsidR="00F14AA2" w:rsidRPr="00FC77BC">
          <w:rPr>
            <w:rStyle w:val="Hyperlink"/>
            <w:noProof/>
          </w:rPr>
          <w:t>13.2.1.</w:t>
        </w:r>
        <w:r w:rsidR="00F14AA2">
          <w:rPr>
            <w:rFonts w:asciiTheme="minorHAnsi" w:eastAsiaTheme="minorEastAsia" w:hAnsiTheme="minorHAnsi" w:cstheme="minorBidi"/>
            <w:noProof/>
            <w:sz w:val="22"/>
          </w:rPr>
          <w:tab/>
        </w:r>
        <w:r w:rsidR="00F14AA2" w:rsidRPr="00FC77BC">
          <w:rPr>
            <w:rStyle w:val="Hyperlink"/>
            <w:noProof/>
          </w:rPr>
          <w:t>Допустими преки разходи</w:t>
        </w:r>
        <w:r w:rsidR="00F14AA2">
          <w:rPr>
            <w:noProof/>
            <w:webHidden/>
          </w:rPr>
          <w:tab/>
        </w:r>
        <w:r w:rsidR="00F14AA2">
          <w:rPr>
            <w:noProof/>
            <w:webHidden/>
          </w:rPr>
          <w:fldChar w:fldCharType="begin"/>
        </w:r>
        <w:r w:rsidR="00F14AA2">
          <w:rPr>
            <w:noProof/>
            <w:webHidden/>
          </w:rPr>
          <w:instrText xml:space="preserve"> PAGEREF _Toc24983847 \h </w:instrText>
        </w:r>
        <w:r w:rsidR="00F14AA2">
          <w:rPr>
            <w:noProof/>
            <w:webHidden/>
          </w:rPr>
        </w:r>
        <w:r w:rsidR="00F14AA2">
          <w:rPr>
            <w:noProof/>
            <w:webHidden/>
          </w:rPr>
          <w:fldChar w:fldCharType="separate"/>
        </w:r>
        <w:r w:rsidR="003F3FAD">
          <w:rPr>
            <w:noProof/>
            <w:webHidden/>
          </w:rPr>
          <w:t>25</w:t>
        </w:r>
        <w:r w:rsidR="00F14AA2">
          <w:rPr>
            <w:noProof/>
            <w:webHidden/>
          </w:rPr>
          <w:fldChar w:fldCharType="end"/>
        </w:r>
      </w:hyperlink>
    </w:p>
    <w:p w14:paraId="4E5C1DB5" w14:textId="77777777" w:rsidR="00F14AA2" w:rsidRDefault="00194001">
      <w:pPr>
        <w:pStyle w:val="TOC3"/>
        <w:tabs>
          <w:tab w:val="left" w:pos="1320"/>
          <w:tab w:val="right" w:leader="dot" w:pos="9770"/>
        </w:tabs>
        <w:rPr>
          <w:rFonts w:asciiTheme="minorHAnsi" w:eastAsiaTheme="minorEastAsia" w:hAnsiTheme="minorHAnsi" w:cstheme="minorBidi"/>
          <w:noProof/>
          <w:sz w:val="22"/>
        </w:rPr>
      </w:pPr>
      <w:hyperlink w:anchor="_Toc24983848" w:history="1">
        <w:r w:rsidR="00F14AA2" w:rsidRPr="00FC77BC">
          <w:rPr>
            <w:rStyle w:val="Hyperlink"/>
            <w:noProof/>
          </w:rPr>
          <w:t>13.2.2.</w:t>
        </w:r>
        <w:r w:rsidR="00F14AA2">
          <w:rPr>
            <w:rFonts w:asciiTheme="minorHAnsi" w:eastAsiaTheme="minorEastAsia" w:hAnsiTheme="minorHAnsi" w:cstheme="minorBidi"/>
            <w:noProof/>
            <w:sz w:val="22"/>
          </w:rPr>
          <w:tab/>
        </w:r>
        <w:r w:rsidR="00F14AA2" w:rsidRPr="00FC77BC">
          <w:rPr>
            <w:rStyle w:val="Hyperlink"/>
            <w:noProof/>
          </w:rPr>
          <w:t>Допустими непреки (режийни) разходи</w:t>
        </w:r>
        <w:r w:rsidR="00F14AA2">
          <w:rPr>
            <w:noProof/>
            <w:webHidden/>
          </w:rPr>
          <w:tab/>
        </w:r>
        <w:r w:rsidR="00F14AA2">
          <w:rPr>
            <w:noProof/>
            <w:webHidden/>
          </w:rPr>
          <w:fldChar w:fldCharType="begin"/>
        </w:r>
        <w:r w:rsidR="00F14AA2">
          <w:rPr>
            <w:noProof/>
            <w:webHidden/>
          </w:rPr>
          <w:instrText xml:space="preserve"> PAGEREF _Toc24983848 \h </w:instrText>
        </w:r>
        <w:r w:rsidR="00F14AA2">
          <w:rPr>
            <w:noProof/>
            <w:webHidden/>
          </w:rPr>
        </w:r>
        <w:r w:rsidR="00F14AA2">
          <w:rPr>
            <w:noProof/>
            <w:webHidden/>
          </w:rPr>
          <w:fldChar w:fldCharType="separate"/>
        </w:r>
        <w:r w:rsidR="003F3FAD">
          <w:rPr>
            <w:noProof/>
            <w:webHidden/>
          </w:rPr>
          <w:t>26</w:t>
        </w:r>
        <w:r w:rsidR="00F14AA2">
          <w:rPr>
            <w:noProof/>
            <w:webHidden/>
          </w:rPr>
          <w:fldChar w:fldCharType="end"/>
        </w:r>
      </w:hyperlink>
    </w:p>
    <w:p w14:paraId="3EEC8AC3" w14:textId="77777777" w:rsidR="00F14AA2" w:rsidRDefault="00194001">
      <w:pPr>
        <w:pStyle w:val="TOC2"/>
        <w:rPr>
          <w:rFonts w:asciiTheme="minorHAnsi" w:eastAsiaTheme="minorEastAsia" w:hAnsiTheme="minorHAnsi" w:cstheme="minorBidi"/>
          <w:sz w:val="22"/>
          <w:lang w:eastAsia="bg-BG"/>
        </w:rPr>
      </w:pPr>
      <w:hyperlink w:anchor="_Toc24983849" w:history="1">
        <w:r w:rsidR="00F14AA2" w:rsidRPr="00FC77BC">
          <w:rPr>
            <w:rStyle w:val="Hyperlink"/>
          </w:rPr>
          <w:t>13.3.</w:t>
        </w:r>
        <w:r w:rsidR="00F14AA2">
          <w:rPr>
            <w:rFonts w:asciiTheme="minorHAnsi" w:eastAsiaTheme="minorEastAsia" w:hAnsiTheme="minorHAnsi" w:cstheme="minorBidi"/>
            <w:sz w:val="22"/>
            <w:lang w:eastAsia="bg-BG"/>
          </w:rPr>
          <w:tab/>
        </w:r>
        <w:r w:rsidR="00F14AA2" w:rsidRPr="00FC77BC">
          <w:rPr>
            <w:rStyle w:val="Hyperlink"/>
          </w:rPr>
          <w:t>НЕДОПУСТИМИ РАЗХОДИ</w:t>
        </w:r>
        <w:r w:rsidR="00F14AA2">
          <w:rPr>
            <w:webHidden/>
          </w:rPr>
          <w:tab/>
        </w:r>
        <w:r w:rsidR="00F14AA2">
          <w:rPr>
            <w:webHidden/>
          </w:rPr>
          <w:fldChar w:fldCharType="begin"/>
        </w:r>
        <w:r w:rsidR="00F14AA2">
          <w:rPr>
            <w:webHidden/>
          </w:rPr>
          <w:instrText xml:space="preserve"> PAGEREF _Toc24983849 \h </w:instrText>
        </w:r>
        <w:r w:rsidR="00F14AA2">
          <w:rPr>
            <w:webHidden/>
          </w:rPr>
        </w:r>
        <w:r w:rsidR="00F14AA2">
          <w:rPr>
            <w:webHidden/>
          </w:rPr>
          <w:fldChar w:fldCharType="separate"/>
        </w:r>
        <w:r w:rsidR="003F3FAD">
          <w:rPr>
            <w:webHidden/>
          </w:rPr>
          <w:t>26</w:t>
        </w:r>
        <w:r w:rsidR="00F14AA2">
          <w:rPr>
            <w:webHidden/>
          </w:rPr>
          <w:fldChar w:fldCharType="end"/>
        </w:r>
      </w:hyperlink>
    </w:p>
    <w:p w14:paraId="139424CC" w14:textId="77777777" w:rsidR="00F14AA2" w:rsidRDefault="00194001">
      <w:pPr>
        <w:pStyle w:val="TOC2"/>
        <w:rPr>
          <w:rFonts w:asciiTheme="minorHAnsi" w:eastAsiaTheme="minorEastAsia" w:hAnsiTheme="minorHAnsi" w:cstheme="minorBidi"/>
          <w:sz w:val="22"/>
          <w:lang w:eastAsia="bg-BG"/>
        </w:rPr>
      </w:pPr>
      <w:hyperlink w:anchor="_Toc24983850" w:history="1">
        <w:r w:rsidR="00F14AA2" w:rsidRPr="00FC77BC">
          <w:rPr>
            <w:rStyle w:val="Hyperlink"/>
          </w:rPr>
          <w:t>13.4.</w:t>
        </w:r>
        <w:r w:rsidR="00F14AA2">
          <w:rPr>
            <w:rFonts w:asciiTheme="minorHAnsi" w:eastAsiaTheme="minorEastAsia" w:hAnsiTheme="minorHAnsi" w:cstheme="minorBidi"/>
            <w:sz w:val="22"/>
            <w:lang w:eastAsia="bg-BG"/>
          </w:rPr>
          <w:tab/>
        </w:r>
        <w:r w:rsidR="00F14AA2" w:rsidRPr="00FC77BC">
          <w:rPr>
            <w:rStyle w:val="Hyperlink"/>
          </w:rPr>
          <w:t>БЮДЖЕТ НА ПРОЕКТНОТО ПРЕДЛОЖЕНИЕ</w:t>
        </w:r>
        <w:r w:rsidR="00F14AA2">
          <w:rPr>
            <w:webHidden/>
          </w:rPr>
          <w:tab/>
        </w:r>
        <w:r w:rsidR="00F14AA2">
          <w:rPr>
            <w:webHidden/>
          </w:rPr>
          <w:fldChar w:fldCharType="begin"/>
        </w:r>
        <w:r w:rsidR="00F14AA2">
          <w:rPr>
            <w:webHidden/>
          </w:rPr>
          <w:instrText xml:space="preserve"> PAGEREF _Toc24983850 \h </w:instrText>
        </w:r>
        <w:r w:rsidR="00F14AA2">
          <w:rPr>
            <w:webHidden/>
          </w:rPr>
        </w:r>
        <w:r w:rsidR="00F14AA2">
          <w:rPr>
            <w:webHidden/>
          </w:rPr>
          <w:fldChar w:fldCharType="separate"/>
        </w:r>
        <w:r w:rsidR="003F3FAD">
          <w:rPr>
            <w:webHidden/>
          </w:rPr>
          <w:t>27</w:t>
        </w:r>
        <w:r w:rsidR="00F14AA2">
          <w:rPr>
            <w:webHidden/>
          </w:rPr>
          <w:fldChar w:fldCharType="end"/>
        </w:r>
      </w:hyperlink>
    </w:p>
    <w:p w14:paraId="3554644D" w14:textId="77777777" w:rsidR="00F14AA2" w:rsidRDefault="00194001">
      <w:pPr>
        <w:pStyle w:val="TOC2"/>
        <w:rPr>
          <w:rFonts w:asciiTheme="minorHAnsi" w:eastAsiaTheme="minorEastAsia" w:hAnsiTheme="minorHAnsi" w:cstheme="minorBidi"/>
          <w:sz w:val="22"/>
          <w:lang w:eastAsia="bg-BG"/>
        </w:rPr>
      </w:pPr>
      <w:hyperlink w:anchor="_Toc24983851" w:history="1">
        <w:r w:rsidR="00F14AA2" w:rsidRPr="00FC77BC">
          <w:rPr>
            <w:rStyle w:val="Hyperlink"/>
          </w:rPr>
          <w:t>13.5.</w:t>
        </w:r>
        <w:r w:rsidR="00F14AA2">
          <w:rPr>
            <w:rFonts w:asciiTheme="minorHAnsi" w:eastAsiaTheme="minorEastAsia" w:hAnsiTheme="minorHAnsi" w:cstheme="minorBidi"/>
            <w:sz w:val="22"/>
            <w:lang w:eastAsia="bg-BG"/>
          </w:rPr>
          <w:tab/>
        </w:r>
        <w:r w:rsidR="00F14AA2" w:rsidRPr="00FC77BC">
          <w:rPr>
            <w:rStyle w:val="Hyperlink"/>
          </w:rPr>
          <w:t>ПЛАЩАНИЯ</w:t>
        </w:r>
        <w:r w:rsidR="00F14AA2">
          <w:rPr>
            <w:webHidden/>
          </w:rPr>
          <w:tab/>
        </w:r>
        <w:r w:rsidR="00F14AA2">
          <w:rPr>
            <w:webHidden/>
          </w:rPr>
          <w:fldChar w:fldCharType="begin"/>
        </w:r>
        <w:r w:rsidR="00F14AA2">
          <w:rPr>
            <w:webHidden/>
          </w:rPr>
          <w:instrText xml:space="preserve"> PAGEREF _Toc24983851 \h </w:instrText>
        </w:r>
        <w:r w:rsidR="00F14AA2">
          <w:rPr>
            <w:webHidden/>
          </w:rPr>
        </w:r>
        <w:r w:rsidR="00F14AA2">
          <w:rPr>
            <w:webHidden/>
          </w:rPr>
          <w:fldChar w:fldCharType="separate"/>
        </w:r>
        <w:r w:rsidR="003F3FAD">
          <w:rPr>
            <w:webHidden/>
          </w:rPr>
          <w:t>29</w:t>
        </w:r>
        <w:r w:rsidR="00F14AA2">
          <w:rPr>
            <w:webHidden/>
          </w:rPr>
          <w:fldChar w:fldCharType="end"/>
        </w:r>
      </w:hyperlink>
    </w:p>
    <w:p w14:paraId="0198AEAD" w14:textId="77777777" w:rsidR="00F14AA2" w:rsidRDefault="00194001">
      <w:pPr>
        <w:pStyle w:val="TOC1"/>
        <w:rPr>
          <w:rFonts w:asciiTheme="minorHAnsi" w:eastAsiaTheme="minorEastAsia" w:hAnsiTheme="minorHAnsi" w:cstheme="minorBidi"/>
          <w:b w:val="0"/>
          <w:sz w:val="22"/>
          <w:lang w:eastAsia="bg-BG"/>
        </w:rPr>
      </w:pPr>
      <w:hyperlink w:anchor="_Toc24983852" w:history="1">
        <w:r w:rsidR="00F14AA2" w:rsidRPr="00FC77BC">
          <w:rPr>
            <w:rStyle w:val="Hyperlink"/>
          </w:rPr>
          <w:t>14.</w:t>
        </w:r>
        <w:r w:rsidR="00F14AA2">
          <w:rPr>
            <w:rFonts w:asciiTheme="minorHAnsi" w:eastAsiaTheme="minorEastAsia" w:hAnsiTheme="minorHAnsi" w:cstheme="minorBidi"/>
            <w:b w:val="0"/>
            <w:sz w:val="22"/>
            <w:lang w:eastAsia="bg-BG"/>
          </w:rPr>
          <w:tab/>
        </w:r>
        <w:r w:rsidR="00F14AA2" w:rsidRPr="00FC77BC">
          <w:rPr>
            <w:rStyle w:val="Hyperlink"/>
          </w:rPr>
          <w:t>ПРИЛОЖИМ РЕЖИМ НА МИНИМАЛНИ И ДЪРЖАВНИ ПОМОЩИ</w:t>
        </w:r>
        <w:r w:rsidR="00F14AA2">
          <w:rPr>
            <w:webHidden/>
          </w:rPr>
          <w:tab/>
        </w:r>
        <w:r w:rsidR="00F14AA2">
          <w:rPr>
            <w:webHidden/>
          </w:rPr>
          <w:fldChar w:fldCharType="begin"/>
        </w:r>
        <w:r w:rsidR="00F14AA2">
          <w:rPr>
            <w:webHidden/>
          </w:rPr>
          <w:instrText xml:space="preserve"> PAGEREF _Toc24983852 \h </w:instrText>
        </w:r>
        <w:r w:rsidR="00F14AA2">
          <w:rPr>
            <w:webHidden/>
          </w:rPr>
        </w:r>
        <w:r w:rsidR="00F14AA2">
          <w:rPr>
            <w:webHidden/>
          </w:rPr>
          <w:fldChar w:fldCharType="separate"/>
        </w:r>
        <w:r w:rsidR="003F3FAD">
          <w:rPr>
            <w:webHidden/>
          </w:rPr>
          <w:t>30</w:t>
        </w:r>
        <w:r w:rsidR="00F14AA2">
          <w:rPr>
            <w:webHidden/>
          </w:rPr>
          <w:fldChar w:fldCharType="end"/>
        </w:r>
      </w:hyperlink>
    </w:p>
    <w:p w14:paraId="5971C803" w14:textId="77777777" w:rsidR="00F14AA2" w:rsidRDefault="00194001">
      <w:pPr>
        <w:pStyle w:val="TOC2"/>
        <w:rPr>
          <w:rFonts w:asciiTheme="minorHAnsi" w:eastAsiaTheme="minorEastAsia" w:hAnsiTheme="minorHAnsi" w:cstheme="minorBidi"/>
          <w:sz w:val="22"/>
          <w:lang w:eastAsia="bg-BG"/>
        </w:rPr>
      </w:pPr>
      <w:hyperlink w:anchor="_Toc24983853" w:history="1">
        <w:r w:rsidR="00F14AA2" w:rsidRPr="00FC77BC">
          <w:rPr>
            <w:rStyle w:val="Hyperlink"/>
          </w:rPr>
          <w:t>14.1.</w:t>
        </w:r>
        <w:r w:rsidR="00F14AA2">
          <w:rPr>
            <w:rFonts w:asciiTheme="minorHAnsi" w:eastAsiaTheme="minorEastAsia" w:hAnsiTheme="minorHAnsi" w:cstheme="minorBidi"/>
            <w:sz w:val="22"/>
            <w:lang w:eastAsia="bg-BG"/>
          </w:rPr>
          <w:tab/>
        </w:r>
        <w:r w:rsidR="00F14AA2" w:rsidRPr="00FC77BC">
          <w:rPr>
            <w:rStyle w:val="Hyperlink"/>
          </w:rPr>
          <w:t>За кандидатите</w:t>
        </w:r>
        <w:r w:rsidR="00F14AA2">
          <w:rPr>
            <w:webHidden/>
          </w:rPr>
          <w:tab/>
        </w:r>
        <w:r w:rsidR="00F14AA2">
          <w:rPr>
            <w:webHidden/>
          </w:rPr>
          <w:fldChar w:fldCharType="begin"/>
        </w:r>
        <w:r w:rsidR="00F14AA2">
          <w:rPr>
            <w:webHidden/>
          </w:rPr>
          <w:instrText xml:space="preserve"> PAGEREF _Toc24983853 \h </w:instrText>
        </w:r>
        <w:r w:rsidR="00F14AA2">
          <w:rPr>
            <w:webHidden/>
          </w:rPr>
        </w:r>
        <w:r w:rsidR="00F14AA2">
          <w:rPr>
            <w:webHidden/>
          </w:rPr>
          <w:fldChar w:fldCharType="separate"/>
        </w:r>
        <w:r w:rsidR="003F3FAD">
          <w:rPr>
            <w:webHidden/>
          </w:rPr>
          <w:t>30</w:t>
        </w:r>
        <w:r w:rsidR="00F14AA2">
          <w:rPr>
            <w:webHidden/>
          </w:rPr>
          <w:fldChar w:fldCharType="end"/>
        </w:r>
      </w:hyperlink>
    </w:p>
    <w:p w14:paraId="7D12F886" w14:textId="77777777" w:rsidR="00F14AA2" w:rsidRDefault="00194001">
      <w:pPr>
        <w:pStyle w:val="TOC2"/>
        <w:rPr>
          <w:rFonts w:asciiTheme="minorHAnsi" w:eastAsiaTheme="minorEastAsia" w:hAnsiTheme="minorHAnsi" w:cstheme="minorBidi"/>
          <w:sz w:val="22"/>
          <w:lang w:eastAsia="bg-BG"/>
        </w:rPr>
      </w:pPr>
      <w:hyperlink w:anchor="_Toc24983854" w:history="1">
        <w:r w:rsidR="00F14AA2" w:rsidRPr="00FC77BC">
          <w:rPr>
            <w:rStyle w:val="Hyperlink"/>
          </w:rPr>
          <w:t>14.2.</w:t>
        </w:r>
        <w:r w:rsidR="00F14AA2">
          <w:rPr>
            <w:rFonts w:asciiTheme="minorHAnsi" w:eastAsiaTheme="minorEastAsia" w:hAnsiTheme="minorHAnsi" w:cstheme="minorBidi"/>
            <w:sz w:val="22"/>
            <w:lang w:eastAsia="bg-BG"/>
          </w:rPr>
          <w:tab/>
        </w:r>
        <w:r w:rsidR="00F14AA2" w:rsidRPr="00FC77BC">
          <w:rPr>
            <w:rStyle w:val="Hyperlink"/>
          </w:rPr>
          <w:t>За партньорите</w:t>
        </w:r>
        <w:r w:rsidR="00F14AA2">
          <w:rPr>
            <w:webHidden/>
          </w:rPr>
          <w:tab/>
        </w:r>
        <w:r w:rsidR="00F14AA2">
          <w:rPr>
            <w:webHidden/>
          </w:rPr>
          <w:fldChar w:fldCharType="begin"/>
        </w:r>
        <w:r w:rsidR="00F14AA2">
          <w:rPr>
            <w:webHidden/>
          </w:rPr>
          <w:instrText xml:space="preserve"> PAGEREF _Toc24983854 \h </w:instrText>
        </w:r>
        <w:r w:rsidR="00F14AA2">
          <w:rPr>
            <w:webHidden/>
          </w:rPr>
        </w:r>
        <w:r w:rsidR="00F14AA2">
          <w:rPr>
            <w:webHidden/>
          </w:rPr>
          <w:fldChar w:fldCharType="separate"/>
        </w:r>
        <w:r w:rsidR="003F3FAD">
          <w:rPr>
            <w:webHidden/>
          </w:rPr>
          <w:t>33</w:t>
        </w:r>
        <w:r w:rsidR="00F14AA2">
          <w:rPr>
            <w:webHidden/>
          </w:rPr>
          <w:fldChar w:fldCharType="end"/>
        </w:r>
      </w:hyperlink>
    </w:p>
    <w:p w14:paraId="5BD52563" w14:textId="77777777" w:rsidR="00F14AA2" w:rsidRDefault="00194001">
      <w:pPr>
        <w:pStyle w:val="TOC1"/>
        <w:rPr>
          <w:rFonts w:asciiTheme="minorHAnsi" w:eastAsiaTheme="minorEastAsia" w:hAnsiTheme="minorHAnsi" w:cstheme="minorBidi"/>
          <w:b w:val="0"/>
          <w:sz w:val="22"/>
          <w:lang w:eastAsia="bg-BG"/>
        </w:rPr>
      </w:pPr>
      <w:hyperlink w:anchor="_Toc24983855" w:history="1">
        <w:r w:rsidR="00F14AA2" w:rsidRPr="00FC77BC">
          <w:rPr>
            <w:rStyle w:val="Hyperlink"/>
          </w:rPr>
          <w:t>15.</w:t>
        </w:r>
        <w:r w:rsidR="00F14AA2">
          <w:rPr>
            <w:rFonts w:asciiTheme="minorHAnsi" w:eastAsiaTheme="minorEastAsia" w:hAnsiTheme="minorHAnsi" w:cstheme="minorBidi"/>
            <w:b w:val="0"/>
            <w:sz w:val="22"/>
            <w:lang w:eastAsia="bg-BG"/>
          </w:rPr>
          <w:tab/>
        </w:r>
        <w:r w:rsidR="00F14AA2" w:rsidRPr="00FC77BC">
          <w:rPr>
            <w:rStyle w:val="Hyperlink"/>
          </w:rPr>
          <w:t>СРОК ЗА ИЗПЪЛНЕНИЕ НА ПРОЕКТА</w:t>
        </w:r>
        <w:r w:rsidR="00F14AA2">
          <w:rPr>
            <w:webHidden/>
          </w:rPr>
          <w:tab/>
        </w:r>
        <w:r w:rsidR="00F14AA2">
          <w:rPr>
            <w:webHidden/>
          </w:rPr>
          <w:fldChar w:fldCharType="begin"/>
        </w:r>
        <w:r w:rsidR="00F14AA2">
          <w:rPr>
            <w:webHidden/>
          </w:rPr>
          <w:instrText xml:space="preserve"> PAGEREF _Toc24983855 \h </w:instrText>
        </w:r>
        <w:r w:rsidR="00F14AA2">
          <w:rPr>
            <w:webHidden/>
          </w:rPr>
        </w:r>
        <w:r w:rsidR="00F14AA2">
          <w:rPr>
            <w:webHidden/>
          </w:rPr>
          <w:fldChar w:fldCharType="separate"/>
        </w:r>
        <w:r w:rsidR="003F3FAD">
          <w:rPr>
            <w:webHidden/>
          </w:rPr>
          <w:t>37</w:t>
        </w:r>
        <w:r w:rsidR="00F14AA2">
          <w:rPr>
            <w:webHidden/>
          </w:rPr>
          <w:fldChar w:fldCharType="end"/>
        </w:r>
      </w:hyperlink>
    </w:p>
    <w:p w14:paraId="1B0838C9" w14:textId="77777777" w:rsidR="00F14AA2" w:rsidRDefault="00194001">
      <w:pPr>
        <w:pStyle w:val="TOC1"/>
        <w:rPr>
          <w:rFonts w:asciiTheme="minorHAnsi" w:eastAsiaTheme="minorEastAsia" w:hAnsiTheme="minorHAnsi" w:cstheme="minorBidi"/>
          <w:b w:val="0"/>
          <w:sz w:val="22"/>
          <w:lang w:eastAsia="bg-BG"/>
        </w:rPr>
      </w:pPr>
      <w:hyperlink w:anchor="_Toc24983856" w:history="1">
        <w:r w:rsidR="00F14AA2" w:rsidRPr="00FC77BC">
          <w:rPr>
            <w:rStyle w:val="Hyperlink"/>
          </w:rPr>
          <w:t>16.</w:t>
        </w:r>
        <w:r w:rsidR="00F14AA2">
          <w:rPr>
            <w:rFonts w:asciiTheme="minorHAnsi" w:eastAsiaTheme="minorEastAsia" w:hAnsiTheme="minorHAnsi" w:cstheme="minorBidi"/>
            <w:b w:val="0"/>
            <w:sz w:val="22"/>
            <w:lang w:eastAsia="bg-BG"/>
          </w:rPr>
          <w:tab/>
        </w:r>
        <w:r w:rsidR="00F14AA2" w:rsidRPr="00FC77BC">
          <w:rPr>
            <w:rStyle w:val="Hyperlink"/>
          </w:rPr>
          <w:t>ПОДАВАНЕ НА ПРОЕКТНИ ПРЕДЛОЖЕНИЯ</w:t>
        </w:r>
        <w:r w:rsidR="00F14AA2">
          <w:rPr>
            <w:webHidden/>
          </w:rPr>
          <w:tab/>
        </w:r>
        <w:r w:rsidR="00F14AA2">
          <w:rPr>
            <w:webHidden/>
          </w:rPr>
          <w:fldChar w:fldCharType="begin"/>
        </w:r>
        <w:r w:rsidR="00F14AA2">
          <w:rPr>
            <w:webHidden/>
          </w:rPr>
          <w:instrText xml:space="preserve"> PAGEREF _Toc24983856 \h </w:instrText>
        </w:r>
        <w:r w:rsidR="00F14AA2">
          <w:rPr>
            <w:webHidden/>
          </w:rPr>
        </w:r>
        <w:r w:rsidR="00F14AA2">
          <w:rPr>
            <w:webHidden/>
          </w:rPr>
          <w:fldChar w:fldCharType="separate"/>
        </w:r>
        <w:r w:rsidR="003F3FAD">
          <w:rPr>
            <w:webHidden/>
          </w:rPr>
          <w:t>38</w:t>
        </w:r>
        <w:r w:rsidR="00F14AA2">
          <w:rPr>
            <w:webHidden/>
          </w:rPr>
          <w:fldChar w:fldCharType="end"/>
        </w:r>
      </w:hyperlink>
    </w:p>
    <w:p w14:paraId="25772720" w14:textId="77777777" w:rsidR="00F14AA2" w:rsidRDefault="00194001">
      <w:pPr>
        <w:pStyle w:val="TOC2"/>
        <w:rPr>
          <w:rFonts w:asciiTheme="minorHAnsi" w:eastAsiaTheme="minorEastAsia" w:hAnsiTheme="minorHAnsi" w:cstheme="minorBidi"/>
          <w:sz w:val="22"/>
          <w:lang w:eastAsia="bg-BG"/>
        </w:rPr>
      </w:pPr>
      <w:hyperlink w:anchor="_Toc24983857" w:history="1">
        <w:r w:rsidR="00F14AA2" w:rsidRPr="00FC77BC">
          <w:rPr>
            <w:rStyle w:val="Hyperlink"/>
          </w:rPr>
          <w:t>16.1.</w:t>
        </w:r>
        <w:r w:rsidR="00F14AA2">
          <w:rPr>
            <w:rFonts w:asciiTheme="minorHAnsi" w:eastAsiaTheme="minorEastAsia" w:hAnsiTheme="minorHAnsi" w:cstheme="minorBidi"/>
            <w:sz w:val="22"/>
            <w:lang w:eastAsia="bg-BG"/>
          </w:rPr>
          <w:tab/>
        </w:r>
        <w:r w:rsidR="00F14AA2" w:rsidRPr="00FC77BC">
          <w:rPr>
            <w:rStyle w:val="Hyperlink"/>
          </w:rPr>
          <w:t>НАЧИН НА ПОДАВАНЕ</w:t>
        </w:r>
        <w:r w:rsidR="00F14AA2">
          <w:rPr>
            <w:webHidden/>
          </w:rPr>
          <w:tab/>
        </w:r>
        <w:r w:rsidR="00F14AA2">
          <w:rPr>
            <w:webHidden/>
          </w:rPr>
          <w:fldChar w:fldCharType="begin"/>
        </w:r>
        <w:r w:rsidR="00F14AA2">
          <w:rPr>
            <w:webHidden/>
          </w:rPr>
          <w:instrText xml:space="preserve"> PAGEREF _Toc24983857 \h </w:instrText>
        </w:r>
        <w:r w:rsidR="00F14AA2">
          <w:rPr>
            <w:webHidden/>
          </w:rPr>
        </w:r>
        <w:r w:rsidR="00F14AA2">
          <w:rPr>
            <w:webHidden/>
          </w:rPr>
          <w:fldChar w:fldCharType="separate"/>
        </w:r>
        <w:r w:rsidR="003F3FAD">
          <w:rPr>
            <w:webHidden/>
          </w:rPr>
          <w:t>38</w:t>
        </w:r>
        <w:r w:rsidR="00F14AA2">
          <w:rPr>
            <w:webHidden/>
          </w:rPr>
          <w:fldChar w:fldCharType="end"/>
        </w:r>
      </w:hyperlink>
    </w:p>
    <w:p w14:paraId="6724C1A0" w14:textId="77777777" w:rsidR="00F14AA2" w:rsidRDefault="00194001">
      <w:pPr>
        <w:pStyle w:val="TOC2"/>
        <w:rPr>
          <w:rFonts w:asciiTheme="minorHAnsi" w:eastAsiaTheme="minorEastAsia" w:hAnsiTheme="minorHAnsi" w:cstheme="minorBidi"/>
          <w:sz w:val="22"/>
          <w:lang w:eastAsia="bg-BG"/>
        </w:rPr>
      </w:pPr>
      <w:hyperlink w:anchor="_Toc24983858" w:history="1">
        <w:r w:rsidR="00F14AA2" w:rsidRPr="00FC77BC">
          <w:rPr>
            <w:rStyle w:val="Hyperlink"/>
          </w:rPr>
          <w:t>16.2.</w:t>
        </w:r>
        <w:r w:rsidR="00F14AA2">
          <w:rPr>
            <w:rFonts w:asciiTheme="minorHAnsi" w:eastAsiaTheme="minorEastAsia" w:hAnsiTheme="minorHAnsi" w:cstheme="minorBidi"/>
            <w:sz w:val="22"/>
            <w:lang w:eastAsia="bg-BG"/>
          </w:rPr>
          <w:tab/>
        </w:r>
        <w:r w:rsidR="00F14AA2" w:rsidRPr="00FC77BC">
          <w:rPr>
            <w:rStyle w:val="Hyperlink"/>
          </w:rPr>
          <w:t>СПИСЪК НА ДОКУМЕНТИТЕ, КОИТО СЕ ПОДАВАТ НА ЕТАП КАНДИДАТСТВАНЕ</w:t>
        </w:r>
        <w:r w:rsidR="00F14AA2">
          <w:rPr>
            <w:webHidden/>
          </w:rPr>
          <w:tab/>
        </w:r>
        <w:r w:rsidR="00F14AA2">
          <w:rPr>
            <w:webHidden/>
          </w:rPr>
          <w:fldChar w:fldCharType="begin"/>
        </w:r>
        <w:r w:rsidR="00F14AA2">
          <w:rPr>
            <w:webHidden/>
          </w:rPr>
          <w:instrText xml:space="preserve"> PAGEREF _Toc24983858 \h </w:instrText>
        </w:r>
        <w:r w:rsidR="00F14AA2">
          <w:rPr>
            <w:webHidden/>
          </w:rPr>
        </w:r>
        <w:r w:rsidR="00F14AA2">
          <w:rPr>
            <w:webHidden/>
          </w:rPr>
          <w:fldChar w:fldCharType="separate"/>
        </w:r>
        <w:r w:rsidR="003F3FAD">
          <w:rPr>
            <w:webHidden/>
          </w:rPr>
          <w:t>39</w:t>
        </w:r>
        <w:r w:rsidR="00F14AA2">
          <w:rPr>
            <w:webHidden/>
          </w:rPr>
          <w:fldChar w:fldCharType="end"/>
        </w:r>
      </w:hyperlink>
    </w:p>
    <w:p w14:paraId="08251083" w14:textId="77777777" w:rsidR="00F14AA2" w:rsidRDefault="00194001">
      <w:pPr>
        <w:pStyle w:val="TOC2"/>
        <w:rPr>
          <w:rFonts w:asciiTheme="minorHAnsi" w:eastAsiaTheme="minorEastAsia" w:hAnsiTheme="minorHAnsi" w:cstheme="minorBidi"/>
          <w:sz w:val="22"/>
          <w:lang w:eastAsia="bg-BG"/>
        </w:rPr>
      </w:pPr>
      <w:hyperlink w:anchor="_Toc24983859" w:history="1">
        <w:r w:rsidR="00F14AA2" w:rsidRPr="00FC77BC">
          <w:rPr>
            <w:rStyle w:val="Hyperlink"/>
          </w:rPr>
          <w:t>16.3.</w:t>
        </w:r>
        <w:r w:rsidR="00F14AA2">
          <w:rPr>
            <w:rFonts w:asciiTheme="minorHAnsi" w:eastAsiaTheme="minorEastAsia" w:hAnsiTheme="minorHAnsi" w:cstheme="minorBidi"/>
            <w:sz w:val="22"/>
            <w:lang w:eastAsia="bg-BG"/>
          </w:rPr>
          <w:tab/>
        </w:r>
        <w:r w:rsidR="00F14AA2" w:rsidRPr="00FC77BC">
          <w:rPr>
            <w:rStyle w:val="Hyperlink"/>
          </w:rPr>
          <w:t>КРАЕН СРОК ЗА ПОДАВАНЕ НА ПРОЕКТНИТЕ ПРЕДЛОЖЕНИЯ</w:t>
        </w:r>
        <w:r w:rsidR="00F14AA2">
          <w:rPr>
            <w:webHidden/>
          </w:rPr>
          <w:tab/>
        </w:r>
        <w:r w:rsidR="00F14AA2">
          <w:rPr>
            <w:webHidden/>
          </w:rPr>
          <w:fldChar w:fldCharType="begin"/>
        </w:r>
        <w:r w:rsidR="00F14AA2">
          <w:rPr>
            <w:webHidden/>
          </w:rPr>
          <w:instrText xml:space="preserve"> PAGEREF _Toc24983859 \h </w:instrText>
        </w:r>
        <w:r w:rsidR="00F14AA2">
          <w:rPr>
            <w:webHidden/>
          </w:rPr>
        </w:r>
        <w:r w:rsidR="00F14AA2">
          <w:rPr>
            <w:webHidden/>
          </w:rPr>
          <w:fldChar w:fldCharType="separate"/>
        </w:r>
        <w:r w:rsidR="003F3FAD">
          <w:rPr>
            <w:webHidden/>
          </w:rPr>
          <w:t>41</w:t>
        </w:r>
        <w:r w:rsidR="00F14AA2">
          <w:rPr>
            <w:webHidden/>
          </w:rPr>
          <w:fldChar w:fldCharType="end"/>
        </w:r>
      </w:hyperlink>
    </w:p>
    <w:p w14:paraId="10F72EF6" w14:textId="77777777" w:rsidR="00F14AA2" w:rsidRDefault="00194001">
      <w:pPr>
        <w:pStyle w:val="TOC2"/>
        <w:rPr>
          <w:rFonts w:asciiTheme="minorHAnsi" w:eastAsiaTheme="minorEastAsia" w:hAnsiTheme="minorHAnsi" w:cstheme="minorBidi"/>
          <w:sz w:val="22"/>
          <w:lang w:eastAsia="bg-BG"/>
        </w:rPr>
      </w:pPr>
      <w:hyperlink w:anchor="_Toc24983860" w:history="1">
        <w:r w:rsidR="00F14AA2" w:rsidRPr="00FC77BC">
          <w:rPr>
            <w:rStyle w:val="Hyperlink"/>
          </w:rPr>
          <w:t>16.4.</w:t>
        </w:r>
        <w:r w:rsidR="00F14AA2">
          <w:rPr>
            <w:rFonts w:asciiTheme="minorHAnsi" w:eastAsiaTheme="minorEastAsia" w:hAnsiTheme="minorHAnsi" w:cstheme="minorBidi"/>
            <w:sz w:val="22"/>
            <w:lang w:eastAsia="bg-BG"/>
          </w:rPr>
          <w:tab/>
        </w:r>
        <w:r w:rsidR="00F14AA2" w:rsidRPr="00FC77BC">
          <w:rPr>
            <w:rStyle w:val="Hyperlink"/>
          </w:rPr>
          <w:t>АДРЕС ЗА ПОДАВАНЕ НА ПРОЕКТНИТЕ ПРЕДЛОЖЕНИЯ</w:t>
        </w:r>
        <w:r w:rsidR="00F14AA2">
          <w:rPr>
            <w:webHidden/>
          </w:rPr>
          <w:tab/>
        </w:r>
        <w:r w:rsidR="00F14AA2">
          <w:rPr>
            <w:webHidden/>
          </w:rPr>
          <w:fldChar w:fldCharType="begin"/>
        </w:r>
        <w:r w:rsidR="00F14AA2">
          <w:rPr>
            <w:webHidden/>
          </w:rPr>
          <w:instrText xml:space="preserve"> PAGEREF _Toc24983860 \h </w:instrText>
        </w:r>
        <w:r w:rsidR="00F14AA2">
          <w:rPr>
            <w:webHidden/>
          </w:rPr>
        </w:r>
        <w:r w:rsidR="00F14AA2">
          <w:rPr>
            <w:webHidden/>
          </w:rPr>
          <w:fldChar w:fldCharType="separate"/>
        </w:r>
        <w:r w:rsidR="003F3FAD">
          <w:rPr>
            <w:webHidden/>
          </w:rPr>
          <w:t>41</w:t>
        </w:r>
        <w:r w:rsidR="00F14AA2">
          <w:rPr>
            <w:webHidden/>
          </w:rPr>
          <w:fldChar w:fldCharType="end"/>
        </w:r>
      </w:hyperlink>
    </w:p>
    <w:p w14:paraId="75D13DC6" w14:textId="77777777" w:rsidR="00F14AA2" w:rsidRDefault="00194001">
      <w:pPr>
        <w:pStyle w:val="TOC1"/>
        <w:rPr>
          <w:rFonts w:asciiTheme="minorHAnsi" w:eastAsiaTheme="minorEastAsia" w:hAnsiTheme="minorHAnsi" w:cstheme="minorBidi"/>
          <w:b w:val="0"/>
          <w:sz w:val="22"/>
          <w:lang w:eastAsia="bg-BG"/>
        </w:rPr>
      </w:pPr>
      <w:hyperlink w:anchor="_Toc24983861" w:history="1">
        <w:r w:rsidR="00F14AA2" w:rsidRPr="00FC77BC">
          <w:rPr>
            <w:rStyle w:val="Hyperlink"/>
          </w:rPr>
          <w:t>17.</w:t>
        </w:r>
        <w:r w:rsidR="00F14AA2">
          <w:rPr>
            <w:rFonts w:asciiTheme="minorHAnsi" w:eastAsiaTheme="minorEastAsia" w:hAnsiTheme="minorHAnsi" w:cstheme="minorBidi"/>
            <w:b w:val="0"/>
            <w:sz w:val="22"/>
            <w:lang w:eastAsia="bg-BG"/>
          </w:rPr>
          <w:tab/>
        </w:r>
        <w:r w:rsidR="00F14AA2" w:rsidRPr="00FC77BC">
          <w:rPr>
            <w:rStyle w:val="Hyperlink"/>
          </w:rPr>
          <w:t>РЕД ЗА ОЦЕНЯВАНЕ НА ПРОЕКТНИТЕ ПРЕДЛОЖЕНИЯ</w:t>
        </w:r>
        <w:r w:rsidR="00F14AA2">
          <w:rPr>
            <w:webHidden/>
          </w:rPr>
          <w:tab/>
        </w:r>
        <w:r w:rsidR="00F14AA2">
          <w:rPr>
            <w:webHidden/>
          </w:rPr>
          <w:fldChar w:fldCharType="begin"/>
        </w:r>
        <w:r w:rsidR="00F14AA2">
          <w:rPr>
            <w:webHidden/>
          </w:rPr>
          <w:instrText xml:space="preserve"> PAGEREF _Toc24983861 \h </w:instrText>
        </w:r>
        <w:r w:rsidR="00F14AA2">
          <w:rPr>
            <w:webHidden/>
          </w:rPr>
        </w:r>
        <w:r w:rsidR="00F14AA2">
          <w:rPr>
            <w:webHidden/>
          </w:rPr>
          <w:fldChar w:fldCharType="separate"/>
        </w:r>
        <w:r w:rsidR="003F3FAD">
          <w:rPr>
            <w:webHidden/>
          </w:rPr>
          <w:t>41</w:t>
        </w:r>
        <w:r w:rsidR="00F14AA2">
          <w:rPr>
            <w:webHidden/>
          </w:rPr>
          <w:fldChar w:fldCharType="end"/>
        </w:r>
      </w:hyperlink>
    </w:p>
    <w:p w14:paraId="773BCDC9" w14:textId="77777777" w:rsidR="00F14AA2" w:rsidRDefault="00194001">
      <w:pPr>
        <w:pStyle w:val="TOC2"/>
        <w:rPr>
          <w:rFonts w:asciiTheme="minorHAnsi" w:eastAsiaTheme="minorEastAsia" w:hAnsiTheme="minorHAnsi" w:cstheme="minorBidi"/>
          <w:sz w:val="22"/>
          <w:lang w:eastAsia="bg-BG"/>
        </w:rPr>
      </w:pPr>
      <w:hyperlink w:anchor="_Toc24983862" w:history="1">
        <w:r w:rsidR="00F14AA2" w:rsidRPr="00FC77BC">
          <w:rPr>
            <w:rStyle w:val="Hyperlink"/>
          </w:rPr>
          <w:t>17.1.</w:t>
        </w:r>
        <w:r w:rsidR="00F14AA2">
          <w:rPr>
            <w:rFonts w:asciiTheme="minorHAnsi" w:eastAsiaTheme="minorEastAsia" w:hAnsiTheme="minorHAnsi" w:cstheme="minorBidi"/>
            <w:sz w:val="22"/>
            <w:lang w:eastAsia="bg-BG"/>
          </w:rPr>
          <w:tab/>
        </w:r>
        <w:r w:rsidR="00F14AA2" w:rsidRPr="00FC77BC">
          <w:rPr>
            <w:rStyle w:val="Hyperlink"/>
          </w:rPr>
          <w:t>ОЦЕНКА НА АДМИНИСТРАТИВНОТО СЪОТВЕТСТВИЕ И ДОПУСТИМОСТТА</w:t>
        </w:r>
        <w:r w:rsidR="00F14AA2">
          <w:rPr>
            <w:webHidden/>
          </w:rPr>
          <w:tab/>
        </w:r>
        <w:r w:rsidR="00F14AA2">
          <w:rPr>
            <w:webHidden/>
          </w:rPr>
          <w:fldChar w:fldCharType="begin"/>
        </w:r>
        <w:r w:rsidR="00F14AA2">
          <w:rPr>
            <w:webHidden/>
          </w:rPr>
          <w:instrText xml:space="preserve"> PAGEREF _Toc24983862 \h </w:instrText>
        </w:r>
        <w:r w:rsidR="00F14AA2">
          <w:rPr>
            <w:webHidden/>
          </w:rPr>
        </w:r>
        <w:r w:rsidR="00F14AA2">
          <w:rPr>
            <w:webHidden/>
          </w:rPr>
          <w:fldChar w:fldCharType="separate"/>
        </w:r>
        <w:r w:rsidR="003F3FAD">
          <w:rPr>
            <w:webHidden/>
          </w:rPr>
          <w:t>43</w:t>
        </w:r>
        <w:r w:rsidR="00F14AA2">
          <w:rPr>
            <w:webHidden/>
          </w:rPr>
          <w:fldChar w:fldCharType="end"/>
        </w:r>
      </w:hyperlink>
    </w:p>
    <w:p w14:paraId="4C5297C6" w14:textId="77777777" w:rsidR="00F14AA2" w:rsidRDefault="00194001">
      <w:pPr>
        <w:pStyle w:val="TOC2"/>
        <w:rPr>
          <w:rFonts w:asciiTheme="minorHAnsi" w:eastAsiaTheme="minorEastAsia" w:hAnsiTheme="minorHAnsi" w:cstheme="minorBidi"/>
          <w:sz w:val="22"/>
          <w:lang w:eastAsia="bg-BG"/>
        </w:rPr>
      </w:pPr>
      <w:hyperlink w:anchor="_Toc24983863" w:history="1">
        <w:r w:rsidR="00F14AA2" w:rsidRPr="00FC77BC">
          <w:rPr>
            <w:rStyle w:val="Hyperlink"/>
          </w:rPr>
          <w:t>17.2.</w:t>
        </w:r>
        <w:r w:rsidR="00F14AA2">
          <w:rPr>
            <w:rFonts w:asciiTheme="minorHAnsi" w:eastAsiaTheme="minorEastAsia" w:hAnsiTheme="minorHAnsi" w:cstheme="minorBidi"/>
            <w:sz w:val="22"/>
            <w:lang w:eastAsia="bg-BG"/>
          </w:rPr>
          <w:tab/>
        </w:r>
        <w:r w:rsidR="00F14AA2" w:rsidRPr="00FC77BC">
          <w:rPr>
            <w:rStyle w:val="Hyperlink"/>
          </w:rPr>
          <w:t>ПОДАВАНЕ И РАЗГЛЕЖДАНЕ НА ВЪЗРАЖЕНИЯ</w:t>
        </w:r>
        <w:r w:rsidR="00F14AA2">
          <w:rPr>
            <w:webHidden/>
          </w:rPr>
          <w:tab/>
        </w:r>
        <w:r w:rsidR="00F14AA2">
          <w:rPr>
            <w:webHidden/>
          </w:rPr>
          <w:fldChar w:fldCharType="begin"/>
        </w:r>
        <w:r w:rsidR="00F14AA2">
          <w:rPr>
            <w:webHidden/>
          </w:rPr>
          <w:instrText xml:space="preserve"> PAGEREF _Toc24983863 \h </w:instrText>
        </w:r>
        <w:r w:rsidR="00F14AA2">
          <w:rPr>
            <w:webHidden/>
          </w:rPr>
        </w:r>
        <w:r w:rsidR="00F14AA2">
          <w:rPr>
            <w:webHidden/>
          </w:rPr>
          <w:fldChar w:fldCharType="separate"/>
        </w:r>
        <w:r w:rsidR="003F3FAD">
          <w:rPr>
            <w:webHidden/>
          </w:rPr>
          <w:t>44</w:t>
        </w:r>
        <w:r w:rsidR="00F14AA2">
          <w:rPr>
            <w:webHidden/>
          </w:rPr>
          <w:fldChar w:fldCharType="end"/>
        </w:r>
      </w:hyperlink>
    </w:p>
    <w:p w14:paraId="1795553C" w14:textId="77777777" w:rsidR="00F14AA2" w:rsidRDefault="00194001">
      <w:pPr>
        <w:pStyle w:val="TOC2"/>
        <w:rPr>
          <w:rFonts w:asciiTheme="minorHAnsi" w:eastAsiaTheme="minorEastAsia" w:hAnsiTheme="minorHAnsi" w:cstheme="minorBidi"/>
          <w:sz w:val="22"/>
          <w:lang w:eastAsia="bg-BG"/>
        </w:rPr>
      </w:pPr>
      <w:hyperlink w:anchor="_Toc24983864" w:history="1">
        <w:r w:rsidR="00F14AA2" w:rsidRPr="00FC77BC">
          <w:rPr>
            <w:rStyle w:val="Hyperlink"/>
          </w:rPr>
          <w:t>17.3.</w:t>
        </w:r>
        <w:r w:rsidR="00F14AA2">
          <w:rPr>
            <w:rFonts w:asciiTheme="minorHAnsi" w:eastAsiaTheme="minorEastAsia" w:hAnsiTheme="minorHAnsi" w:cstheme="minorBidi"/>
            <w:sz w:val="22"/>
            <w:lang w:eastAsia="bg-BG"/>
          </w:rPr>
          <w:tab/>
        </w:r>
        <w:r w:rsidR="00F14AA2" w:rsidRPr="00FC77BC">
          <w:rPr>
            <w:rStyle w:val="Hyperlink"/>
          </w:rPr>
          <w:t>ТЕХНИЧЕСКА И ФИНАНСОВА ОЦЕНКА</w:t>
        </w:r>
        <w:r w:rsidR="00F14AA2">
          <w:rPr>
            <w:webHidden/>
          </w:rPr>
          <w:tab/>
        </w:r>
        <w:r w:rsidR="00F14AA2">
          <w:rPr>
            <w:webHidden/>
          </w:rPr>
          <w:fldChar w:fldCharType="begin"/>
        </w:r>
        <w:r w:rsidR="00F14AA2">
          <w:rPr>
            <w:webHidden/>
          </w:rPr>
          <w:instrText xml:space="preserve"> PAGEREF _Toc24983864 \h </w:instrText>
        </w:r>
        <w:r w:rsidR="00F14AA2">
          <w:rPr>
            <w:webHidden/>
          </w:rPr>
        </w:r>
        <w:r w:rsidR="00F14AA2">
          <w:rPr>
            <w:webHidden/>
          </w:rPr>
          <w:fldChar w:fldCharType="separate"/>
        </w:r>
        <w:r w:rsidR="003F3FAD">
          <w:rPr>
            <w:webHidden/>
          </w:rPr>
          <w:t>45</w:t>
        </w:r>
        <w:r w:rsidR="00F14AA2">
          <w:rPr>
            <w:webHidden/>
          </w:rPr>
          <w:fldChar w:fldCharType="end"/>
        </w:r>
      </w:hyperlink>
    </w:p>
    <w:p w14:paraId="56F38B27" w14:textId="77777777" w:rsidR="00F14AA2" w:rsidRDefault="00194001">
      <w:pPr>
        <w:pStyle w:val="TOC2"/>
        <w:rPr>
          <w:rFonts w:asciiTheme="minorHAnsi" w:eastAsiaTheme="minorEastAsia" w:hAnsiTheme="minorHAnsi" w:cstheme="minorBidi"/>
          <w:sz w:val="22"/>
          <w:lang w:eastAsia="bg-BG"/>
        </w:rPr>
      </w:pPr>
      <w:hyperlink w:anchor="_Toc24983865" w:history="1">
        <w:r w:rsidR="00F14AA2" w:rsidRPr="00FC77BC">
          <w:rPr>
            <w:rStyle w:val="Hyperlink"/>
          </w:rPr>
          <w:t>17.4.</w:t>
        </w:r>
        <w:r w:rsidR="00F14AA2">
          <w:rPr>
            <w:rFonts w:asciiTheme="minorHAnsi" w:eastAsiaTheme="minorEastAsia" w:hAnsiTheme="minorHAnsi" w:cstheme="minorBidi"/>
            <w:sz w:val="22"/>
            <w:lang w:eastAsia="bg-BG"/>
          </w:rPr>
          <w:tab/>
        </w:r>
        <w:r w:rsidR="00F14AA2" w:rsidRPr="00FC77BC">
          <w:rPr>
            <w:rStyle w:val="Hyperlink"/>
          </w:rPr>
          <w:t>ПОДБОР НА ПРОЕКТИ</w:t>
        </w:r>
        <w:r w:rsidR="00F14AA2">
          <w:rPr>
            <w:webHidden/>
          </w:rPr>
          <w:tab/>
        </w:r>
        <w:r w:rsidR="00F14AA2">
          <w:rPr>
            <w:webHidden/>
          </w:rPr>
          <w:fldChar w:fldCharType="begin"/>
        </w:r>
        <w:r w:rsidR="00F14AA2">
          <w:rPr>
            <w:webHidden/>
          </w:rPr>
          <w:instrText xml:space="preserve"> PAGEREF _Toc24983865 \h </w:instrText>
        </w:r>
        <w:r w:rsidR="00F14AA2">
          <w:rPr>
            <w:webHidden/>
          </w:rPr>
        </w:r>
        <w:r w:rsidR="00F14AA2">
          <w:rPr>
            <w:webHidden/>
          </w:rPr>
          <w:fldChar w:fldCharType="separate"/>
        </w:r>
        <w:r w:rsidR="003F3FAD">
          <w:rPr>
            <w:webHidden/>
          </w:rPr>
          <w:t>47</w:t>
        </w:r>
        <w:r w:rsidR="00F14AA2">
          <w:rPr>
            <w:webHidden/>
          </w:rPr>
          <w:fldChar w:fldCharType="end"/>
        </w:r>
      </w:hyperlink>
    </w:p>
    <w:p w14:paraId="582E4563" w14:textId="77777777" w:rsidR="00F14AA2" w:rsidRDefault="00194001">
      <w:pPr>
        <w:pStyle w:val="TOC1"/>
        <w:rPr>
          <w:rFonts w:asciiTheme="minorHAnsi" w:eastAsiaTheme="minorEastAsia" w:hAnsiTheme="minorHAnsi" w:cstheme="minorBidi"/>
          <w:b w:val="0"/>
          <w:sz w:val="22"/>
          <w:lang w:eastAsia="bg-BG"/>
        </w:rPr>
      </w:pPr>
      <w:hyperlink w:anchor="_Toc24983866" w:history="1">
        <w:r w:rsidR="00F14AA2" w:rsidRPr="00FC77BC">
          <w:rPr>
            <w:rStyle w:val="Hyperlink"/>
          </w:rPr>
          <w:t>18.</w:t>
        </w:r>
        <w:r w:rsidR="00F14AA2">
          <w:rPr>
            <w:rFonts w:asciiTheme="minorHAnsi" w:eastAsiaTheme="minorEastAsia" w:hAnsiTheme="minorHAnsi" w:cstheme="minorBidi"/>
            <w:b w:val="0"/>
            <w:sz w:val="22"/>
            <w:lang w:eastAsia="bg-BG"/>
          </w:rPr>
          <w:tab/>
        </w:r>
        <w:r w:rsidR="00F14AA2" w:rsidRPr="00FC77BC">
          <w:rPr>
            <w:rStyle w:val="Hyperlink"/>
          </w:rPr>
          <w:t>ПРОЦЕДУРА ЗА УВЕДОМЯВАНЕ НА НЕУСПЕЛИТЕ И ОДОБРЕНИТЕ КАНДИДАТИ И СКЛЮЧВАНЕ НА ДОГОВОРИ ЗА БЕЗВЪЗМЕЗДНА ФИНАНСОВА ПОМОЩ</w:t>
        </w:r>
        <w:r w:rsidR="00F14AA2">
          <w:rPr>
            <w:webHidden/>
          </w:rPr>
          <w:tab/>
        </w:r>
        <w:r w:rsidR="00F14AA2">
          <w:rPr>
            <w:webHidden/>
          </w:rPr>
          <w:fldChar w:fldCharType="begin"/>
        </w:r>
        <w:r w:rsidR="00F14AA2">
          <w:rPr>
            <w:webHidden/>
          </w:rPr>
          <w:instrText xml:space="preserve"> PAGEREF _Toc24983866 \h </w:instrText>
        </w:r>
        <w:r w:rsidR="00F14AA2">
          <w:rPr>
            <w:webHidden/>
          </w:rPr>
        </w:r>
        <w:r w:rsidR="00F14AA2">
          <w:rPr>
            <w:webHidden/>
          </w:rPr>
          <w:fldChar w:fldCharType="separate"/>
        </w:r>
        <w:r w:rsidR="003F3FAD">
          <w:rPr>
            <w:webHidden/>
          </w:rPr>
          <w:t>48</w:t>
        </w:r>
        <w:r w:rsidR="00F14AA2">
          <w:rPr>
            <w:webHidden/>
          </w:rPr>
          <w:fldChar w:fldCharType="end"/>
        </w:r>
      </w:hyperlink>
    </w:p>
    <w:p w14:paraId="0228C83A" w14:textId="77777777" w:rsidR="00F14AA2" w:rsidRDefault="00194001">
      <w:pPr>
        <w:pStyle w:val="TOC1"/>
        <w:rPr>
          <w:rFonts w:asciiTheme="minorHAnsi" w:eastAsiaTheme="minorEastAsia" w:hAnsiTheme="minorHAnsi" w:cstheme="minorBidi"/>
          <w:b w:val="0"/>
          <w:sz w:val="22"/>
          <w:lang w:eastAsia="bg-BG"/>
        </w:rPr>
      </w:pPr>
      <w:hyperlink w:anchor="_Toc24983867" w:history="1">
        <w:r w:rsidR="00F14AA2" w:rsidRPr="00FC77BC">
          <w:rPr>
            <w:rStyle w:val="Hyperlink"/>
          </w:rPr>
          <w:t>19.</w:t>
        </w:r>
        <w:r w:rsidR="00F14AA2">
          <w:rPr>
            <w:rFonts w:asciiTheme="minorHAnsi" w:eastAsiaTheme="minorEastAsia" w:hAnsiTheme="minorHAnsi" w:cstheme="minorBidi"/>
            <w:b w:val="0"/>
            <w:sz w:val="22"/>
            <w:lang w:eastAsia="bg-BG"/>
          </w:rPr>
          <w:tab/>
        </w:r>
        <w:r w:rsidR="00F14AA2" w:rsidRPr="00FC77BC">
          <w:rPr>
            <w:rStyle w:val="Hyperlink"/>
          </w:rPr>
          <w:t>ПРИЛОЖЕНИЯ:</w:t>
        </w:r>
        <w:r w:rsidR="00F14AA2">
          <w:rPr>
            <w:webHidden/>
          </w:rPr>
          <w:tab/>
        </w:r>
        <w:r w:rsidR="00F14AA2">
          <w:rPr>
            <w:webHidden/>
          </w:rPr>
          <w:fldChar w:fldCharType="begin"/>
        </w:r>
        <w:r w:rsidR="00F14AA2">
          <w:rPr>
            <w:webHidden/>
          </w:rPr>
          <w:instrText xml:space="preserve"> PAGEREF _Toc24983867 \h </w:instrText>
        </w:r>
        <w:r w:rsidR="00F14AA2">
          <w:rPr>
            <w:webHidden/>
          </w:rPr>
        </w:r>
        <w:r w:rsidR="00F14AA2">
          <w:rPr>
            <w:webHidden/>
          </w:rPr>
          <w:fldChar w:fldCharType="separate"/>
        </w:r>
        <w:r w:rsidR="003F3FAD">
          <w:rPr>
            <w:webHidden/>
          </w:rPr>
          <w:t>49</w:t>
        </w:r>
        <w:r w:rsidR="00F14AA2">
          <w:rPr>
            <w:webHidden/>
          </w:rPr>
          <w:fldChar w:fldCharType="end"/>
        </w:r>
      </w:hyperlink>
    </w:p>
    <w:p w14:paraId="0476D3B9" w14:textId="77777777" w:rsidR="00DD4AC6" w:rsidRPr="00621B83" w:rsidRDefault="007C5463" w:rsidP="008B2406">
      <w:r w:rsidRPr="00621B83">
        <w:rPr>
          <w:b/>
        </w:rPr>
        <w:fldChar w:fldCharType="end"/>
      </w:r>
      <w:r w:rsidR="00DD4AC6" w:rsidRPr="00621B83">
        <w:br w:type="page"/>
      </w:r>
    </w:p>
    <w:p w14:paraId="5DA51687" w14:textId="77777777" w:rsidR="000D6180" w:rsidRPr="00621B83" w:rsidRDefault="0069585E" w:rsidP="0080251B">
      <w:pPr>
        <w:pStyle w:val="Heading1"/>
      </w:pPr>
      <w:bookmarkStart w:id="0" w:name="_Toc24983815"/>
      <w:bookmarkStart w:id="1" w:name="_Toc125361895"/>
      <w:r w:rsidRPr="00621B83">
        <w:lastRenderedPageBreak/>
        <w:t>ПРОГРАМА „</w:t>
      </w:r>
      <w:r w:rsidR="00323FE7" w:rsidRPr="00621B83">
        <w:t xml:space="preserve">ВЪЗОБНОВЯЕМА ЕНЕРГИЯ, </w:t>
      </w:r>
      <w:r w:rsidRPr="00621B83">
        <w:t>ЕНЕРГИЙНА ЕФЕКТИВНОСТ</w:t>
      </w:r>
      <w:r w:rsidR="00323FE7" w:rsidRPr="00621B83">
        <w:t>, ЕНЕРГИЙНА СИГУРНОСТ</w:t>
      </w:r>
      <w:r w:rsidR="00845356" w:rsidRPr="00621B83">
        <w:t>”</w:t>
      </w:r>
      <w:bookmarkEnd w:id="0"/>
    </w:p>
    <w:p w14:paraId="215E2D55" w14:textId="77777777" w:rsidR="00244C5D" w:rsidRPr="00621B83" w:rsidRDefault="00AD1B17" w:rsidP="00AD1B17">
      <w:r w:rsidRPr="00621B83">
        <w:t xml:space="preserve">Програма </w:t>
      </w:r>
      <w:r w:rsidR="005355A8" w:rsidRPr="00621B83">
        <w:t xml:space="preserve">„Възобновяема енергия, енергийна ефективност, енергийна сигурност“ (Програмата) </w:t>
      </w:r>
      <w:r w:rsidRPr="00621B83">
        <w:t>се финансира от Финансовия механизъм на Европейското икономическо пространство (ФМ на ЕИП) 20</w:t>
      </w:r>
      <w:r w:rsidR="005355A8" w:rsidRPr="00621B83">
        <w:t>14</w:t>
      </w:r>
      <w:r w:rsidRPr="00621B83">
        <w:t>-20</w:t>
      </w:r>
      <w:r w:rsidR="005355A8" w:rsidRPr="00621B83">
        <w:t>21.</w:t>
      </w:r>
      <w:r w:rsidRPr="00621B83">
        <w:t xml:space="preserve"> </w:t>
      </w:r>
      <w:r w:rsidR="005355A8" w:rsidRPr="00621B83">
        <w:t>Министерство на енергетиката е определено за Програмен оператор</w:t>
      </w:r>
      <w:r w:rsidR="00D85F18" w:rsidRPr="00621B83">
        <w:t xml:space="preserve"> (ПО)</w:t>
      </w:r>
      <w:r w:rsidR="005355A8" w:rsidRPr="00621B83">
        <w:t xml:space="preserve"> на Програма</w:t>
      </w:r>
      <w:r w:rsidR="00244C5D" w:rsidRPr="00621B83">
        <w:t>та</w:t>
      </w:r>
      <w:r w:rsidR="005355A8" w:rsidRPr="00621B83">
        <w:t xml:space="preserve"> с подписването на Меморандума за разбирателство относно изпълнението на Ф</w:t>
      </w:r>
      <w:r w:rsidR="00405D4D" w:rsidRPr="00621B83">
        <w:t>инансовия механизъм</w:t>
      </w:r>
      <w:r w:rsidR="005355A8" w:rsidRPr="00621B83">
        <w:t xml:space="preserve"> на </w:t>
      </w:r>
      <w:r w:rsidR="00405D4D" w:rsidRPr="00621B83">
        <w:t>Европейското икономическо пространство</w:t>
      </w:r>
      <w:r w:rsidR="00405D4D" w:rsidRPr="00621B83" w:rsidDel="00405D4D">
        <w:t xml:space="preserve"> </w:t>
      </w:r>
      <w:r w:rsidR="005355A8" w:rsidRPr="00621B83">
        <w:t xml:space="preserve">2014-2021 на </w:t>
      </w:r>
      <w:r w:rsidR="00FB0EF9" w:rsidRPr="00621B83">
        <w:rPr>
          <w:lang w:val="en-US"/>
        </w:rPr>
        <w:t>09</w:t>
      </w:r>
      <w:r w:rsidR="00405D4D" w:rsidRPr="00621B83">
        <w:t xml:space="preserve"> декември </w:t>
      </w:r>
      <w:r w:rsidR="005355A8" w:rsidRPr="00621B83">
        <w:t>2016 г.</w:t>
      </w:r>
      <w:r w:rsidR="00244C5D" w:rsidRPr="00621B83">
        <w:t xml:space="preserve"> </w:t>
      </w:r>
      <w:r w:rsidR="000E27B2" w:rsidRPr="00621B83">
        <w:t xml:space="preserve">Програмата се изпълнява в партньорство с </w:t>
      </w:r>
      <w:r w:rsidR="00B870F1" w:rsidRPr="00621B83">
        <w:t>Норвежката дирекция „Водни ресурси и енергетика“ (NVE) и Националният енергиен орган на Исландия (ОS).</w:t>
      </w:r>
    </w:p>
    <w:p w14:paraId="34FDEC1F" w14:textId="77777777" w:rsidR="00AD1B17" w:rsidRPr="00621B83" w:rsidRDefault="00AD1B17" w:rsidP="00AD1B17">
      <w:r w:rsidRPr="00621B83">
        <w:t>Основна цел на Програмата е намаляване на въглеродната интензивност и повишаване на сигурността на доставките чрез</w:t>
      </w:r>
      <w:r w:rsidR="00207377" w:rsidRPr="00621B83">
        <w:t xml:space="preserve"> постигането на следните резултати</w:t>
      </w:r>
      <w:r w:rsidRPr="00621B83">
        <w:t>:</w:t>
      </w:r>
    </w:p>
    <w:p w14:paraId="0C583DBA" w14:textId="77777777" w:rsidR="00AD1B17" w:rsidRPr="00621B83" w:rsidRDefault="00AD1B17" w:rsidP="00DF2A21">
      <w:pPr>
        <w:numPr>
          <w:ilvl w:val="0"/>
          <w:numId w:val="10"/>
        </w:numPr>
        <w:ind w:left="709" w:hanging="349"/>
      </w:pPr>
      <w:r w:rsidRPr="00621B83">
        <w:t>Повишаване на производството на енергия от възобновяеми източници;</w:t>
      </w:r>
    </w:p>
    <w:p w14:paraId="3044C198" w14:textId="77777777" w:rsidR="00AD1B17" w:rsidRPr="00621B83" w:rsidRDefault="00AD1B17" w:rsidP="00DF2A21">
      <w:pPr>
        <w:numPr>
          <w:ilvl w:val="0"/>
          <w:numId w:val="10"/>
        </w:numPr>
        <w:ind w:left="709" w:hanging="349"/>
      </w:pPr>
      <w:r w:rsidRPr="00621B83">
        <w:t>Подобряване на енергийната ефективност в сградите, индустрията и общините;</w:t>
      </w:r>
    </w:p>
    <w:p w14:paraId="58C3A076" w14:textId="77777777" w:rsidR="000D6180" w:rsidRPr="00621B83" w:rsidRDefault="00AD1B17" w:rsidP="000E27B2">
      <w:pPr>
        <w:numPr>
          <w:ilvl w:val="0"/>
          <w:numId w:val="10"/>
        </w:numPr>
        <w:ind w:left="709" w:hanging="349"/>
      </w:pPr>
      <w:r w:rsidRPr="00621B83">
        <w:t xml:space="preserve">Повишаване на експертния капацитет в областта на възобновяемата енергия, енергийната ефективност и </w:t>
      </w:r>
      <w:r w:rsidR="001F02B2" w:rsidRPr="00621B83">
        <w:t>управлението</w:t>
      </w:r>
      <w:r w:rsidRPr="00621B83">
        <w:t xml:space="preserve"> на енергия.</w:t>
      </w:r>
    </w:p>
    <w:p w14:paraId="63EFAA34" w14:textId="77777777" w:rsidR="00A4259A" w:rsidRPr="00621B83" w:rsidRDefault="00A4259A" w:rsidP="0080251B">
      <w:pPr>
        <w:pStyle w:val="Heading1"/>
      </w:pPr>
      <w:bookmarkStart w:id="2" w:name="_Toc24983816"/>
      <w:r w:rsidRPr="00621B83">
        <w:t>ПРАВНА И ИНСТИТУЦИОНАЛНА РАМКА</w:t>
      </w:r>
      <w:bookmarkEnd w:id="2"/>
    </w:p>
    <w:p w14:paraId="7C6176D6" w14:textId="77777777" w:rsidR="00A4259A" w:rsidRPr="00716C51" w:rsidRDefault="00A4259A" w:rsidP="00C021CC">
      <w:pPr>
        <w:pStyle w:val="Heading2"/>
      </w:pPr>
      <w:bookmarkStart w:id="3" w:name="_Toc24983817"/>
      <w:r w:rsidRPr="00716C51">
        <w:rPr>
          <w:rStyle w:val="Heading2Char"/>
          <w:b/>
        </w:rPr>
        <w:t>ПРОГРАМНИ ДОКУМЕНТИ</w:t>
      </w:r>
      <w:bookmarkEnd w:id="3"/>
    </w:p>
    <w:p w14:paraId="4218E9CD" w14:textId="77777777" w:rsidR="00DF701D" w:rsidRPr="00DF2A21" w:rsidRDefault="00DF701D" w:rsidP="00DF2A21">
      <w:pPr>
        <w:numPr>
          <w:ilvl w:val="0"/>
          <w:numId w:val="10"/>
        </w:numPr>
        <w:ind w:left="709" w:hanging="349"/>
      </w:pPr>
      <w:r w:rsidRPr="00DF2A21">
        <w:t>Споразумение между Европейския съюз и Исландия, Княжество Лихтенщайн и Кралство Норвегия относно ФМ на ЕИП 2014-2021;</w:t>
      </w:r>
    </w:p>
    <w:p w14:paraId="50CE3344" w14:textId="77777777" w:rsidR="00DF701D" w:rsidRPr="00DF2A21" w:rsidRDefault="00DF701D" w:rsidP="00DF2A21">
      <w:pPr>
        <w:numPr>
          <w:ilvl w:val="0"/>
          <w:numId w:val="10"/>
        </w:numPr>
        <w:ind w:left="709" w:hanging="349"/>
      </w:pPr>
      <w:r w:rsidRPr="00DF2A21">
        <w:t xml:space="preserve">Протокол 38В към Споразумение относно финансовия механизъм на </w:t>
      </w:r>
      <w:r w:rsidR="001E609F" w:rsidRPr="00DF2A21">
        <w:t>Европейското икономическо пространство</w:t>
      </w:r>
      <w:r w:rsidR="001E609F" w:rsidRPr="00DF2A21" w:rsidDel="001E609F">
        <w:t xml:space="preserve"> </w:t>
      </w:r>
      <w:r w:rsidRPr="00DF2A21">
        <w:t>2014-2021 към Споразумението между Европейския съюз, Исландия, Княжество Лихтенщайн и Кралство Норвегия за финансов механизъм на ЕИП 2014-2021;</w:t>
      </w:r>
    </w:p>
    <w:p w14:paraId="119190B9" w14:textId="77777777" w:rsidR="00DF701D" w:rsidRPr="00DF2A21" w:rsidRDefault="00DF701D" w:rsidP="00DF2A21">
      <w:pPr>
        <w:numPr>
          <w:ilvl w:val="0"/>
          <w:numId w:val="10"/>
        </w:numPr>
        <w:ind w:left="709" w:hanging="349"/>
      </w:pPr>
      <w:r w:rsidRPr="00DF2A21">
        <w:t xml:space="preserve">Регламент за изпълнението на Финансовия механизъм на </w:t>
      </w:r>
      <w:r w:rsidR="001E609F" w:rsidRPr="00DF2A21">
        <w:t>Европейското икономическо пространство</w:t>
      </w:r>
      <w:r w:rsidR="001E609F" w:rsidRPr="00DF2A21" w:rsidDel="001E609F">
        <w:t xml:space="preserve"> </w:t>
      </w:r>
      <w:r w:rsidRPr="00DF2A21">
        <w:t>2014 – 2021 (Регламента);</w:t>
      </w:r>
    </w:p>
    <w:p w14:paraId="1869B498" w14:textId="77777777" w:rsidR="00DF701D" w:rsidRPr="00DF2A21" w:rsidRDefault="00DF701D" w:rsidP="00DF2A21">
      <w:pPr>
        <w:numPr>
          <w:ilvl w:val="0"/>
          <w:numId w:val="10"/>
        </w:numPr>
        <w:ind w:left="709" w:hanging="349"/>
      </w:pPr>
      <w:r w:rsidRPr="00DF2A21">
        <w:t xml:space="preserve">Меморандум за разбирателство относно изпълнението на Финансовия механизъм на </w:t>
      </w:r>
      <w:r w:rsidR="001E609F" w:rsidRPr="00DF2A21">
        <w:t>Европейското икономическо пространство</w:t>
      </w:r>
      <w:r w:rsidR="001E609F" w:rsidRPr="00DF2A21" w:rsidDel="001E609F">
        <w:t xml:space="preserve"> </w:t>
      </w:r>
      <w:r w:rsidRPr="00DF2A21">
        <w:t xml:space="preserve">2014-2021 между Република България и </w:t>
      </w:r>
      <w:r w:rsidR="007969F4" w:rsidRPr="00DF2A21">
        <w:t xml:space="preserve">Република </w:t>
      </w:r>
      <w:r w:rsidRPr="00DF2A21">
        <w:t>Исландия, Княжество Лихтенщайн и Кралство Норвегия, подписан на 9 декември 2016 г., ратифициран със закон, приет от 43-то Народно събрание на 13 януари 2017 г. (</w:t>
      </w:r>
      <w:r w:rsidR="001E609F" w:rsidRPr="00DF2A21">
        <w:t>О</w:t>
      </w:r>
      <w:r w:rsidRPr="00DF2A21">
        <w:t>бн., ДВ, бр. 8 от 2017 г.),</w:t>
      </w:r>
      <w:r w:rsidRPr="00DF2A21" w:rsidDel="00577F48">
        <w:t xml:space="preserve"> </w:t>
      </w:r>
      <w:r w:rsidRPr="00DF2A21">
        <w:t>(Меморандума);</w:t>
      </w:r>
    </w:p>
    <w:p w14:paraId="2A41E537" w14:textId="77777777" w:rsidR="00DF701D" w:rsidRPr="00DF2A21" w:rsidRDefault="00DF701D" w:rsidP="00DF2A21">
      <w:pPr>
        <w:numPr>
          <w:ilvl w:val="0"/>
          <w:numId w:val="10"/>
        </w:numPr>
        <w:ind w:left="709" w:hanging="349"/>
      </w:pPr>
      <w:r w:rsidRPr="00DF2A21">
        <w:t>Програмно споразумение между Комитета на Финансовия механизъм и Националното координационно звено на Република България за финансирането на Програма „Възобновяема енергия, енергийна ефективност, енергийна сигурност“, подписано на 21 юни 2018 г.;</w:t>
      </w:r>
    </w:p>
    <w:p w14:paraId="3D033916" w14:textId="77777777" w:rsidR="00DF701D" w:rsidRPr="00DF2A21" w:rsidRDefault="00DF701D" w:rsidP="00DF2A21">
      <w:pPr>
        <w:numPr>
          <w:ilvl w:val="0"/>
          <w:numId w:val="10"/>
        </w:numPr>
        <w:ind w:left="709" w:hanging="349"/>
      </w:pPr>
      <w:r w:rsidRPr="00DF2A21">
        <w:t>Споразумението за изпълнение на Програма „Възобновяема енергия, енергийна ефективност, енергийна сигурност“ между Националното координационно звено и Министерството на енергетиката, подписано на 27 юли 2018 г.;</w:t>
      </w:r>
    </w:p>
    <w:p w14:paraId="3FB1CD1F" w14:textId="77777777" w:rsidR="00A4259A" w:rsidRPr="00621B83" w:rsidRDefault="006A3F4A" w:rsidP="00DF2A21">
      <w:pPr>
        <w:numPr>
          <w:ilvl w:val="0"/>
          <w:numId w:val="10"/>
        </w:numPr>
        <w:ind w:left="709" w:hanging="349"/>
      </w:pPr>
      <w:r w:rsidRPr="00621B83">
        <w:t>Ръководство за двустранни отношения, ФМ на ЕИП и Норвежки финансов механизъм 2014 — 2021 г.</w:t>
      </w:r>
      <w:r w:rsidR="00A4259A" w:rsidRPr="00621B83">
        <w:t>;</w:t>
      </w:r>
    </w:p>
    <w:p w14:paraId="2316E6B8" w14:textId="77777777" w:rsidR="00A4259A" w:rsidRPr="00621B83" w:rsidRDefault="003D7E60" w:rsidP="00DF2A21">
      <w:pPr>
        <w:numPr>
          <w:ilvl w:val="0"/>
          <w:numId w:val="10"/>
        </w:numPr>
        <w:ind w:left="709" w:hanging="349"/>
      </w:pPr>
      <w:r w:rsidRPr="00621B83">
        <w:lastRenderedPageBreak/>
        <w:t>Ръководство за комуникация и дизайн</w:t>
      </w:r>
      <w:r w:rsidR="00CF5460" w:rsidRPr="00621B83">
        <w:t>,</w:t>
      </w:r>
      <w:r w:rsidRPr="00621B83">
        <w:t xml:space="preserve"> Финансов механизъм на </w:t>
      </w:r>
      <w:r w:rsidR="00110824" w:rsidRPr="00621B83">
        <w:t>Европейското икономическо пространство</w:t>
      </w:r>
      <w:r w:rsidR="00110824" w:rsidRPr="00621B83" w:rsidDel="00110824">
        <w:t xml:space="preserve"> </w:t>
      </w:r>
      <w:r w:rsidRPr="00621B83">
        <w:t xml:space="preserve">и </w:t>
      </w:r>
      <w:r w:rsidR="00274346" w:rsidRPr="00621B83">
        <w:t xml:space="preserve">Норвежки финансов механизъм </w:t>
      </w:r>
      <w:r w:rsidRPr="00621B83">
        <w:t>за периода 2014-2021 г</w:t>
      </w:r>
      <w:r w:rsidR="002825C2" w:rsidRPr="00621B83">
        <w:t>.</w:t>
      </w:r>
    </w:p>
    <w:p w14:paraId="409DED1F" w14:textId="77777777" w:rsidR="00E414AB" w:rsidRPr="00D730FA" w:rsidRDefault="009B288A" w:rsidP="00DF2A21">
      <w:r w:rsidRPr="00D730FA">
        <w:t xml:space="preserve">Като част от правната рамка </w:t>
      </w:r>
      <w:r w:rsidR="001C37E6" w:rsidRPr="00D730FA">
        <w:t>следва да се прилагат и в</w:t>
      </w:r>
      <w:r w:rsidR="00E414AB" w:rsidRPr="00D730FA">
        <w:t>сички правила и насоки, приети от Донорите в съответствие с Регламента</w:t>
      </w:r>
      <w:r w:rsidR="00110824" w:rsidRPr="00D730FA">
        <w:t>.</w:t>
      </w:r>
    </w:p>
    <w:p w14:paraId="059E94A8" w14:textId="77777777" w:rsidR="00647097" w:rsidRPr="00621B83" w:rsidRDefault="00A4259A" w:rsidP="004C7E1F">
      <w:r w:rsidRPr="00621B83">
        <w:t>Описаните документи са достъп</w:t>
      </w:r>
      <w:r w:rsidR="00BC0894" w:rsidRPr="00621B83">
        <w:t xml:space="preserve">ни на страницата на ФМ на ЕИП </w:t>
      </w:r>
      <w:hyperlink r:id="rId9" w:history="1">
        <w:r w:rsidR="00647097" w:rsidRPr="00621B83">
          <w:rPr>
            <w:rStyle w:val="Hyperlink"/>
          </w:rPr>
          <w:t>http://eeagrants.org/</w:t>
        </w:r>
      </w:hyperlink>
      <w:r w:rsidR="00D71E97" w:rsidRPr="00621B83">
        <w:rPr>
          <w:lang w:val="en-US"/>
        </w:rPr>
        <w:t xml:space="preserve"> </w:t>
      </w:r>
      <w:r w:rsidR="00D71E97" w:rsidRPr="00621B83">
        <w:t xml:space="preserve">и на </w:t>
      </w:r>
      <w:r w:rsidR="00083762" w:rsidRPr="00621B83">
        <w:t>единния информационен портал на ФМ на ЕИП за Република България (</w:t>
      </w:r>
      <w:hyperlink r:id="rId10" w:history="1">
        <w:r w:rsidR="006172A9" w:rsidRPr="00621B83">
          <w:rPr>
            <w:rStyle w:val="Hyperlink"/>
          </w:rPr>
          <w:t>www.eeagrants.bg</w:t>
        </w:r>
      </w:hyperlink>
      <w:r w:rsidR="00083762" w:rsidRPr="00621B83">
        <w:rPr>
          <w:lang w:val="en-US"/>
        </w:rPr>
        <w:t>)</w:t>
      </w:r>
      <w:r w:rsidR="00BC0894" w:rsidRPr="00621B83">
        <w:t>.</w:t>
      </w:r>
      <w:r w:rsidRPr="00621B83">
        <w:t xml:space="preserve"> </w:t>
      </w:r>
    </w:p>
    <w:p w14:paraId="2FB9B511" w14:textId="77777777" w:rsidR="00F32F39" w:rsidRPr="00716C51" w:rsidRDefault="00677EB0" w:rsidP="00C021CC">
      <w:pPr>
        <w:pStyle w:val="Heading2"/>
        <w:rPr>
          <w:rStyle w:val="Heading2Char"/>
          <w:b/>
        </w:rPr>
      </w:pPr>
      <w:bookmarkStart w:id="4" w:name="_Toc24983818"/>
      <w:r w:rsidRPr="00716C51">
        <w:rPr>
          <w:rStyle w:val="Heading2Char"/>
          <w:b/>
        </w:rPr>
        <w:t>ПРАВО НА ЕВРОПЕЙСКИЯ СЪЮЗ</w:t>
      </w:r>
      <w:bookmarkEnd w:id="4"/>
    </w:p>
    <w:p w14:paraId="02642452" w14:textId="77777777" w:rsidR="00F32F39" w:rsidRPr="00D730FA" w:rsidRDefault="00F32F39" w:rsidP="00DF2A21">
      <w:r w:rsidRPr="00D730FA">
        <w:t xml:space="preserve">Правото на Европейския съюз </w:t>
      </w:r>
      <w:r w:rsidR="008B6036" w:rsidRPr="00D730FA">
        <w:t>е приложимо винаги</w:t>
      </w:r>
      <w:r w:rsidR="00FF297C" w:rsidRPr="00D730FA">
        <w:t>,</w:t>
      </w:r>
      <w:r w:rsidR="008B6036" w:rsidRPr="00D730FA">
        <w:t xml:space="preserve"> когато по определен въпрос липсва уредба в програмните документи</w:t>
      </w:r>
      <w:r w:rsidR="00FF297C" w:rsidRPr="00D730FA">
        <w:t xml:space="preserve"> или</w:t>
      </w:r>
      <w:r w:rsidR="008B6036" w:rsidRPr="00D730FA">
        <w:t xml:space="preserve"> в националното законодателство</w:t>
      </w:r>
      <w:r w:rsidR="00FF297C" w:rsidRPr="00D730FA">
        <w:t>,</w:t>
      </w:r>
      <w:r w:rsidR="008B6036" w:rsidRPr="00D730FA">
        <w:t xml:space="preserve"> или когато </w:t>
      </w:r>
      <w:r w:rsidR="00FF297C" w:rsidRPr="00D730FA">
        <w:t>определен акт на Европейския съюз е с приоритет пред съответен национален</w:t>
      </w:r>
      <w:r w:rsidR="004112BF" w:rsidRPr="00D730FA">
        <w:t xml:space="preserve"> акт, </w:t>
      </w:r>
      <w:r w:rsidRPr="00D730FA">
        <w:t>включително, но не само:</w:t>
      </w:r>
    </w:p>
    <w:p w14:paraId="56D21AC8" w14:textId="77777777" w:rsidR="00F32F39" w:rsidRPr="00621B83" w:rsidRDefault="00F32F39" w:rsidP="00DF2A21">
      <w:pPr>
        <w:numPr>
          <w:ilvl w:val="0"/>
          <w:numId w:val="10"/>
        </w:numPr>
        <w:ind w:left="709" w:hanging="349"/>
      </w:pPr>
      <w:r w:rsidRPr="00621B83">
        <w:t>Правото в областта на държавните помощи – Регламенти, Решения, Насоки и други;</w:t>
      </w:r>
    </w:p>
    <w:p w14:paraId="555A3EF4" w14:textId="77777777" w:rsidR="00F32F39" w:rsidRPr="00621B83" w:rsidRDefault="00F32F39" w:rsidP="00DF2A21">
      <w:pPr>
        <w:numPr>
          <w:ilvl w:val="0"/>
          <w:numId w:val="10"/>
        </w:numPr>
        <w:ind w:left="709" w:hanging="349"/>
      </w:pPr>
      <w:r w:rsidRPr="00621B83">
        <w:t>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Решение С (201</w:t>
      </w:r>
      <w:r w:rsidR="00FB0EF9" w:rsidRPr="00D730FA">
        <w:t>9</w:t>
      </w:r>
      <w:r w:rsidRPr="00621B83">
        <w:t xml:space="preserve">) </w:t>
      </w:r>
      <w:r w:rsidR="00FB0EF9" w:rsidRPr="00D730FA">
        <w:t>3452</w:t>
      </w:r>
      <w:r w:rsidR="00FB0EF9" w:rsidRPr="00621B83">
        <w:t xml:space="preserve"> </w:t>
      </w:r>
      <w:r w:rsidRPr="00621B83">
        <w:t>от 1</w:t>
      </w:r>
      <w:r w:rsidR="00FB0EF9" w:rsidRPr="00D730FA">
        <w:t>4</w:t>
      </w:r>
      <w:r w:rsidRPr="00621B83">
        <w:t>.</w:t>
      </w:r>
      <w:r w:rsidR="00FB0EF9" w:rsidRPr="00D730FA">
        <w:t>05</w:t>
      </w:r>
      <w:r w:rsidRPr="00621B83">
        <w:t>.201</w:t>
      </w:r>
      <w:r w:rsidR="00FB0EF9" w:rsidRPr="00D730FA">
        <w:t>9</w:t>
      </w:r>
      <w:r w:rsidRPr="00621B83">
        <w:t xml:space="preserve"> г.</w:t>
      </w:r>
    </w:p>
    <w:p w14:paraId="371EF3FA" w14:textId="77777777" w:rsidR="00DA2F26" w:rsidRPr="00716C51" w:rsidRDefault="00E0103C" w:rsidP="00C021CC">
      <w:pPr>
        <w:pStyle w:val="Heading2"/>
        <w:rPr>
          <w:rStyle w:val="Heading2Char"/>
          <w:b/>
        </w:rPr>
      </w:pPr>
      <w:bookmarkStart w:id="5" w:name="_Toc24983819"/>
      <w:bookmarkStart w:id="6" w:name="_Toc24983820"/>
      <w:bookmarkEnd w:id="5"/>
      <w:r w:rsidRPr="00716C51">
        <w:rPr>
          <w:rStyle w:val="Heading2Char"/>
          <w:b/>
        </w:rPr>
        <w:t>НАЦИОНАЛН</w:t>
      </w:r>
      <w:r w:rsidR="00DA2F26" w:rsidRPr="00716C51">
        <w:rPr>
          <w:rStyle w:val="Heading2Char"/>
          <w:b/>
        </w:rPr>
        <w:t>А НОРМАТИВНА УРЕДБА</w:t>
      </w:r>
      <w:bookmarkEnd w:id="6"/>
      <w:r w:rsidR="00DA2F26" w:rsidRPr="00716C51">
        <w:rPr>
          <w:rStyle w:val="Heading2Char"/>
          <w:b/>
        </w:rPr>
        <w:t xml:space="preserve"> </w:t>
      </w:r>
    </w:p>
    <w:p w14:paraId="39829783" w14:textId="77777777" w:rsidR="00483747" w:rsidRPr="00DF2A21" w:rsidRDefault="00483747" w:rsidP="00DF2A21">
      <w:r w:rsidRPr="00DF2A21">
        <w:t>Националната нормативна уредба е приложима винаги, когато по определен въпрос липсва уредба в програмните документи или не съществува акт на Европейския съюз с приоритет пред съответен национален акт.</w:t>
      </w:r>
    </w:p>
    <w:p w14:paraId="61FB5754" w14:textId="77777777" w:rsidR="00483747" w:rsidRPr="00DF2A21" w:rsidRDefault="00483747" w:rsidP="00DF2A21">
      <w:r w:rsidRPr="00DF2A21">
        <w:t>Националната нормативна уредба включва националното законодателство и подзаконова нормативна уредба в Република България в областта на административното право и процес, договорните отношения, собствеността, уреждане на гражданскоправните спорове, обществените поръчки, държавните помощи, данъчното облагане, счетоводството и други приложими области, включително, но не само:</w:t>
      </w:r>
    </w:p>
    <w:p w14:paraId="02520A16" w14:textId="77777777" w:rsidR="00483747" w:rsidRPr="00621B83" w:rsidRDefault="00483747" w:rsidP="00083762">
      <w:pPr>
        <w:numPr>
          <w:ilvl w:val="0"/>
          <w:numId w:val="5"/>
        </w:numPr>
      </w:pPr>
      <w:r w:rsidRPr="00621B83">
        <w:t>Закон за ратифициране на Меморандума за разбирателство относно изпълнението на Финансовия механизъм на Европейското икономическо пространство 2014 – 2021 г.</w:t>
      </w:r>
      <w:r w:rsidR="00B53F3C" w:rsidRPr="00621B83">
        <w:t>;</w:t>
      </w:r>
      <w:r w:rsidRPr="00621B83">
        <w:t xml:space="preserve"> между Република България и Исландия, Княжество Лихтенщайн и Кралство Норвегия;</w:t>
      </w:r>
    </w:p>
    <w:p w14:paraId="205995EE" w14:textId="77777777" w:rsidR="00483747" w:rsidRPr="00621B83" w:rsidRDefault="00483747" w:rsidP="00083762">
      <w:pPr>
        <w:numPr>
          <w:ilvl w:val="0"/>
          <w:numId w:val="5"/>
        </w:numPr>
      </w:pPr>
      <w:r w:rsidRPr="00621B83">
        <w:t>Закон за данък върху добавената стойност и Правилник за прилагане на Закона за данък върху добавената стойност;</w:t>
      </w:r>
    </w:p>
    <w:p w14:paraId="27D99E30" w14:textId="77777777" w:rsidR="00483747" w:rsidRPr="00621B83" w:rsidRDefault="00483747" w:rsidP="00083762">
      <w:pPr>
        <w:numPr>
          <w:ilvl w:val="0"/>
          <w:numId w:val="5"/>
        </w:numPr>
      </w:pPr>
      <w:r w:rsidRPr="00621B83">
        <w:t>Закон за държавните помощи и Правилник за прилагане на Закона за държавните помощи;</w:t>
      </w:r>
    </w:p>
    <w:p w14:paraId="62964FEF" w14:textId="77777777" w:rsidR="00483747" w:rsidRPr="00621B83" w:rsidRDefault="00483747" w:rsidP="00083762">
      <w:pPr>
        <w:numPr>
          <w:ilvl w:val="0"/>
          <w:numId w:val="5"/>
        </w:numPr>
      </w:pPr>
      <w:r w:rsidRPr="00621B83">
        <w:t>Административно-процесуалния кодекс;</w:t>
      </w:r>
    </w:p>
    <w:p w14:paraId="3B855C04" w14:textId="77777777" w:rsidR="00483747" w:rsidRPr="00621B83" w:rsidRDefault="00483747" w:rsidP="00083762">
      <w:pPr>
        <w:numPr>
          <w:ilvl w:val="0"/>
          <w:numId w:val="5"/>
        </w:numPr>
      </w:pPr>
      <w:r w:rsidRPr="00621B83">
        <w:t>Закон за държавния служител;</w:t>
      </w:r>
    </w:p>
    <w:p w14:paraId="0627D747" w14:textId="77777777" w:rsidR="00483747" w:rsidRPr="00621B83" w:rsidRDefault="00483747" w:rsidP="00083762">
      <w:pPr>
        <w:numPr>
          <w:ilvl w:val="0"/>
          <w:numId w:val="5"/>
        </w:numPr>
      </w:pPr>
      <w:r w:rsidRPr="00621B83">
        <w:t>Закон за обществените поръчки и Правилник за прилагане на Закона за обществените поръчки;</w:t>
      </w:r>
    </w:p>
    <w:p w14:paraId="417A7FC2" w14:textId="77777777" w:rsidR="00483747" w:rsidRPr="00621B83" w:rsidRDefault="00483747" w:rsidP="00083762">
      <w:pPr>
        <w:numPr>
          <w:ilvl w:val="0"/>
          <w:numId w:val="5"/>
        </w:numPr>
      </w:pPr>
      <w:r w:rsidRPr="00621B83">
        <w:t>Закон за противодействие на корупцията и за отнемане на незаконно придобитото имущество;</w:t>
      </w:r>
    </w:p>
    <w:p w14:paraId="1383FB76" w14:textId="77777777" w:rsidR="00483747" w:rsidRPr="00621B83" w:rsidRDefault="00483747" w:rsidP="00083762">
      <w:pPr>
        <w:numPr>
          <w:ilvl w:val="0"/>
          <w:numId w:val="5"/>
        </w:numPr>
      </w:pPr>
      <w:r w:rsidRPr="00621B83">
        <w:t>Закон за публичните финанси;</w:t>
      </w:r>
    </w:p>
    <w:p w14:paraId="4952AA5E" w14:textId="77777777" w:rsidR="00483747" w:rsidRPr="00621B83" w:rsidRDefault="00483747" w:rsidP="00083762">
      <w:pPr>
        <w:numPr>
          <w:ilvl w:val="0"/>
          <w:numId w:val="5"/>
        </w:numPr>
      </w:pPr>
      <w:r w:rsidRPr="00621B83">
        <w:t>Закон за счетоводството;</w:t>
      </w:r>
    </w:p>
    <w:p w14:paraId="035EC373" w14:textId="77777777" w:rsidR="00483747" w:rsidRPr="00621B83" w:rsidRDefault="00483747" w:rsidP="00083762">
      <w:pPr>
        <w:numPr>
          <w:ilvl w:val="0"/>
          <w:numId w:val="5"/>
        </w:numPr>
      </w:pPr>
      <w:r w:rsidRPr="00621B83">
        <w:t>Закон за финансовото управление и контрол в публичния сектор;</w:t>
      </w:r>
    </w:p>
    <w:p w14:paraId="657CCA72" w14:textId="77777777" w:rsidR="00483747" w:rsidRPr="00621B83" w:rsidRDefault="00483747" w:rsidP="00083762">
      <w:pPr>
        <w:numPr>
          <w:ilvl w:val="0"/>
          <w:numId w:val="5"/>
        </w:numPr>
      </w:pPr>
      <w:r w:rsidRPr="00621B83">
        <w:lastRenderedPageBreak/>
        <w:t>Закон за вътрешния одит в публичния сектор;</w:t>
      </w:r>
    </w:p>
    <w:p w14:paraId="7F6F760A" w14:textId="77777777" w:rsidR="00D03F44" w:rsidRPr="00621B83" w:rsidRDefault="00483747" w:rsidP="00083762">
      <w:pPr>
        <w:numPr>
          <w:ilvl w:val="0"/>
          <w:numId w:val="5"/>
        </w:numPr>
      </w:pPr>
      <w:r w:rsidRPr="00621B83">
        <w:t>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r w:rsidR="00D03F44" w:rsidRPr="00621B83">
        <w:t>;</w:t>
      </w:r>
    </w:p>
    <w:p w14:paraId="72105CC9" w14:textId="65624BD8" w:rsidR="00D03F44" w:rsidRPr="00621B83" w:rsidRDefault="00D03F44" w:rsidP="00083762">
      <w:pPr>
        <w:numPr>
          <w:ilvl w:val="0"/>
          <w:numId w:val="5"/>
        </w:numPr>
      </w:pPr>
      <w:r w:rsidRPr="00621B83">
        <w:t>Наредба за заплатите на служителите в държавната администрация;</w:t>
      </w:r>
    </w:p>
    <w:p w14:paraId="78C46E4C" w14:textId="07047DC1" w:rsidR="00D03F44" w:rsidRPr="00621B83" w:rsidRDefault="00D03F44" w:rsidP="00083762">
      <w:pPr>
        <w:numPr>
          <w:ilvl w:val="0"/>
          <w:numId w:val="5"/>
        </w:numPr>
      </w:pPr>
      <w:r w:rsidRPr="00621B83">
        <w:t>Наредба за командировките в страната;</w:t>
      </w:r>
    </w:p>
    <w:p w14:paraId="22C84D60" w14:textId="52591840" w:rsidR="00D03F44" w:rsidRPr="00621B83" w:rsidRDefault="00D03F44" w:rsidP="00083762">
      <w:pPr>
        <w:numPr>
          <w:ilvl w:val="0"/>
          <w:numId w:val="5"/>
        </w:numPr>
      </w:pPr>
      <w:r w:rsidRPr="00621B83">
        <w:t>Наредба за служебните командировки и специализации в чужбина.</w:t>
      </w:r>
    </w:p>
    <w:p w14:paraId="794D27C6" w14:textId="77777777" w:rsidR="00483747" w:rsidRPr="00DF2A21" w:rsidRDefault="00823BC9" w:rsidP="00DF2A21">
      <w:r w:rsidRPr="00DF2A21">
        <w:t>Като част от правната рамка са приложими и д</w:t>
      </w:r>
      <w:r w:rsidR="00483747" w:rsidRPr="00DF2A21">
        <w:t>руги национални правила, включително, но не само:</w:t>
      </w:r>
    </w:p>
    <w:p w14:paraId="1FFBD736" w14:textId="77777777" w:rsidR="00483747" w:rsidRPr="00621B83" w:rsidRDefault="00483747" w:rsidP="00083762">
      <w:pPr>
        <w:numPr>
          <w:ilvl w:val="0"/>
          <w:numId w:val="5"/>
        </w:numPr>
      </w:pPr>
      <w:r w:rsidRPr="00621B83">
        <w:t>Национални счетоводни стандарти, приложими за бюджетните организации;</w:t>
      </w:r>
    </w:p>
    <w:p w14:paraId="1B7BE4E6" w14:textId="77777777" w:rsidR="00483747" w:rsidRPr="00621B83" w:rsidRDefault="00483747" w:rsidP="00083762">
      <w:pPr>
        <w:numPr>
          <w:ilvl w:val="0"/>
          <w:numId w:val="5"/>
        </w:numPr>
      </w:pPr>
      <w:r w:rsidRPr="00621B83">
        <w:t>Сметкоплан на бюджетните организации</w:t>
      </w:r>
      <w:r w:rsidR="00146244" w:rsidRPr="00621B83">
        <w:t>;</w:t>
      </w:r>
    </w:p>
    <w:p w14:paraId="7B08FA75" w14:textId="105065C6" w:rsidR="00B87BA9" w:rsidRPr="00621B83" w:rsidRDefault="00146244" w:rsidP="00BB3965">
      <w:pPr>
        <w:numPr>
          <w:ilvl w:val="0"/>
          <w:numId w:val="5"/>
        </w:numPr>
      </w:pPr>
      <w:r w:rsidRPr="00621B83">
        <w:t>Указани</w:t>
      </w:r>
      <w:r w:rsidR="00BB3965">
        <w:rPr>
          <w:lang w:val="en-US"/>
        </w:rPr>
        <w:t>e</w:t>
      </w:r>
      <w:r w:rsidRPr="00621B83">
        <w:t xml:space="preserve"> на Министерство на финансите </w:t>
      </w:r>
      <w:r w:rsidR="00BB3965" w:rsidRPr="00BB3965">
        <w:t>ДНФ № 3 от 23.12.2016 г.</w:t>
      </w:r>
      <w:r w:rsidRPr="00621B83">
        <w:t xml:space="preserve"> </w:t>
      </w:r>
      <w:r w:rsidR="00BB3965">
        <w:t>за</w:t>
      </w:r>
      <w:r w:rsidRPr="00621B83">
        <w:t xml:space="preserve"> третиране на данък </w:t>
      </w:r>
      <w:r w:rsidR="00BB3965">
        <w:t xml:space="preserve">върху </w:t>
      </w:r>
      <w:r w:rsidRPr="00621B83">
        <w:t>добавена</w:t>
      </w:r>
      <w:r w:rsidR="00BB3965">
        <w:t>та</w:t>
      </w:r>
      <w:r w:rsidRPr="00621B83">
        <w:t xml:space="preserve"> стойност</w:t>
      </w:r>
      <w:r w:rsidR="00BB3965" w:rsidRPr="00BB3965">
        <w:t xml:space="preserve">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 </w:t>
      </w:r>
    </w:p>
    <w:p w14:paraId="227D4F78" w14:textId="77777777" w:rsidR="00647097" w:rsidRPr="00716C51" w:rsidRDefault="00647097" w:rsidP="00C021CC">
      <w:pPr>
        <w:pStyle w:val="Heading2"/>
      </w:pPr>
      <w:bookmarkStart w:id="7" w:name="_Toc24983821"/>
      <w:r w:rsidRPr="00716C51">
        <w:t>ИНСТИТУЦИОНАЛНА РАМКА</w:t>
      </w:r>
      <w:bookmarkEnd w:id="7"/>
    </w:p>
    <w:p w14:paraId="3C5E76E6" w14:textId="77777777" w:rsidR="00647097" w:rsidRPr="00621B83" w:rsidRDefault="00647097" w:rsidP="002F79C8">
      <w:pPr>
        <w:pStyle w:val="Heading3"/>
      </w:pPr>
      <w:bookmarkStart w:id="8" w:name="_Toc24983822"/>
      <w:r w:rsidRPr="00621B83">
        <w:t>Институционална рамка на ниво страни-донори</w:t>
      </w:r>
      <w:bookmarkEnd w:id="8"/>
    </w:p>
    <w:p w14:paraId="0F043A43" w14:textId="77777777" w:rsidR="00647097" w:rsidRPr="00621B83" w:rsidRDefault="00647097" w:rsidP="00DA6E42">
      <w:pPr>
        <w:numPr>
          <w:ilvl w:val="0"/>
          <w:numId w:val="6"/>
        </w:numPr>
        <w:rPr>
          <w:b/>
        </w:rPr>
      </w:pPr>
      <w:r w:rsidRPr="00621B83">
        <w:rPr>
          <w:b/>
        </w:rPr>
        <w:t>Комитет на ФМ на ЕИП (КФМ)</w:t>
      </w:r>
    </w:p>
    <w:p w14:paraId="303BD49D" w14:textId="77777777" w:rsidR="00647097" w:rsidRPr="00621B83" w:rsidRDefault="00817A22" w:rsidP="00647097">
      <w:r w:rsidRPr="00621B83">
        <w:t xml:space="preserve">Комитетът на </w:t>
      </w:r>
      <w:r w:rsidR="00647097" w:rsidRPr="00621B83">
        <w:t xml:space="preserve">ФМ е органът, който взема решения относно приноса на ЕИП. </w:t>
      </w:r>
      <w:r w:rsidR="006C58A5" w:rsidRPr="00621B83">
        <w:t>С</w:t>
      </w:r>
      <w:r w:rsidR="00647097" w:rsidRPr="00621B83">
        <w:t>ъздаден</w:t>
      </w:r>
      <w:r w:rsidR="006C58A5" w:rsidRPr="00621B83">
        <w:t xml:space="preserve"> е</w:t>
      </w:r>
      <w:r w:rsidR="00647097" w:rsidRPr="00621B83">
        <w:t xml:space="preserve"> от</w:t>
      </w:r>
      <w:r w:rsidR="0009775C" w:rsidRPr="00621B83">
        <w:t xml:space="preserve"> </w:t>
      </w:r>
      <w:r w:rsidR="00647097" w:rsidRPr="00621B83">
        <w:t>Постоянния Комитет на държавите от Европейската асоциация за свободна търговия за</w:t>
      </w:r>
      <w:r w:rsidR="0009775C" w:rsidRPr="00621B83">
        <w:t xml:space="preserve"> </w:t>
      </w:r>
      <w:r w:rsidR="00647097" w:rsidRPr="00621B83">
        <w:t xml:space="preserve">управление (ЕАСТ) и се състои от представители на </w:t>
      </w:r>
      <w:r w:rsidR="00A26E39" w:rsidRPr="00621B83">
        <w:t>м</w:t>
      </w:r>
      <w:r w:rsidR="00647097" w:rsidRPr="00621B83">
        <w:t>инистерствата на външните работи на</w:t>
      </w:r>
      <w:r w:rsidR="0009775C" w:rsidRPr="00621B83">
        <w:t xml:space="preserve"> </w:t>
      </w:r>
      <w:r w:rsidR="00647097" w:rsidRPr="00621B83">
        <w:t>Кралство Норвегия, Исландия и Княжество Лихтенщайн. Комитетът взема решения за</w:t>
      </w:r>
      <w:r w:rsidR="0009775C" w:rsidRPr="00621B83">
        <w:t xml:space="preserve"> </w:t>
      </w:r>
      <w:r w:rsidR="00647097" w:rsidRPr="00621B83">
        <w:t>предоставяне на грант, приема Регламент</w:t>
      </w:r>
      <w:r w:rsidR="004F6757" w:rsidRPr="00621B83">
        <w:t>и</w:t>
      </w:r>
      <w:r w:rsidR="00647097" w:rsidRPr="00621B83">
        <w:t xml:space="preserve"> за изпълнението на ФМ на ЕИП 2009-2014 и изменения</w:t>
      </w:r>
      <w:r w:rsidR="0009775C" w:rsidRPr="00621B83">
        <w:t xml:space="preserve"> </w:t>
      </w:r>
      <w:r w:rsidR="00647097" w:rsidRPr="00621B83">
        <w:t>към тях. При необходимост, Комитетът одобрява допълнителни указания относно управлението и</w:t>
      </w:r>
      <w:r w:rsidR="0009775C" w:rsidRPr="00621B83">
        <w:t xml:space="preserve"> </w:t>
      </w:r>
      <w:r w:rsidR="00647097" w:rsidRPr="00621B83">
        <w:t>изпълнението на програмата.</w:t>
      </w:r>
    </w:p>
    <w:p w14:paraId="02584E53" w14:textId="77777777" w:rsidR="00647097" w:rsidRPr="00621B83" w:rsidRDefault="00647097" w:rsidP="00DA6E42">
      <w:pPr>
        <w:numPr>
          <w:ilvl w:val="0"/>
          <w:numId w:val="6"/>
        </w:numPr>
        <w:rPr>
          <w:b/>
        </w:rPr>
      </w:pPr>
      <w:r w:rsidRPr="00621B83">
        <w:rPr>
          <w:b/>
        </w:rPr>
        <w:t>Офис на ФМ (ОФМ)</w:t>
      </w:r>
    </w:p>
    <w:p w14:paraId="10C17DFA" w14:textId="77777777" w:rsidR="00647097" w:rsidRPr="00621B83" w:rsidRDefault="00647097" w:rsidP="00647097">
      <w:r w:rsidRPr="00621B83">
        <w:t xml:space="preserve">Офисът на ФМ е органът, който подпомага КФМ в управлението на </w:t>
      </w:r>
      <w:r w:rsidR="004F6757" w:rsidRPr="00621B83">
        <w:t>ФМ</w:t>
      </w:r>
      <w:r w:rsidR="0009775C" w:rsidRPr="00621B83">
        <w:t xml:space="preserve"> </w:t>
      </w:r>
      <w:r w:rsidRPr="00621B83">
        <w:t>на ЕИП 20</w:t>
      </w:r>
      <w:r w:rsidR="002825C2" w:rsidRPr="00621B83">
        <w:t>14</w:t>
      </w:r>
      <w:r w:rsidRPr="00621B83">
        <w:t>-20</w:t>
      </w:r>
      <w:r w:rsidR="002825C2" w:rsidRPr="00621B83">
        <w:t>21</w:t>
      </w:r>
      <w:r w:rsidRPr="00621B83">
        <w:t>. ОФМ, който административно е част от ЕАСТ, отговаря за ежедневните</w:t>
      </w:r>
      <w:r w:rsidR="0009775C" w:rsidRPr="00621B83">
        <w:t xml:space="preserve"> </w:t>
      </w:r>
      <w:r w:rsidRPr="00621B83">
        <w:t>дейности по изпълнението на ФМ на ЕИП 20</w:t>
      </w:r>
      <w:r w:rsidR="002825C2" w:rsidRPr="00621B83">
        <w:t>14</w:t>
      </w:r>
      <w:r w:rsidRPr="00621B83">
        <w:t>-20</w:t>
      </w:r>
      <w:r w:rsidR="002825C2" w:rsidRPr="00621B83">
        <w:t>21</w:t>
      </w:r>
      <w:r w:rsidRPr="00621B83">
        <w:t xml:space="preserve"> от името на КФМ и изпълнява функциите на</w:t>
      </w:r>
      <w:r w:rsidR="0009775C" w:rsidRPr="00621B83">
        <w:t xml:space="preserve"> </w:t>
      </w:r>
      <w:r w:rsidRPr="00621B83">
        <w:t>контактна точка.</w:t>
      </w:r>
    </w:p>
    <w:p w14:paraId="6A0A9FA9" w14:textId="77777777" w:rsidR="00647097" w:rsidRPr="00621B83" w:rsidRDefault="00647097" w:rsidP="002F79C8">
      <w:pPr>
        <w:pStyle w:val="Heading3"/>
      </w:pPr>
      <w:bookmarkStart w:id="9" w:name="_Toc24983823"/>
      <w:r w:rsidRPr="00621B83">
        <w:t>Институционална рамка на управление на Финансовия механизъм на Европейското икономическо пространство 2009-2014 на национално ниво</w:t>
      </w:r>
      <w:bookmarkEnd w:id="9"/>
    </w:p>
    <w:p w14:paraId="349BFDF2" w14:textId="77777777" w:rsidR="00647097" w:rsidRPr="00621B83" w:rsidRDefault="00647097" w:rsidP="00DA6E42">
      <w:pPr>
        <w:numPr>
          <w:ilvl w:val="0"/>
          <w:numId w:val="6"/>
        </w:numPr>
        <w:rPr>
          <w:b/>
        </w:rPr>
      </w:pPr>
      <w:r w:rsidRPr="00621B83">
        <w:rPr>
          <w:b/>
        </w:rPr>
        <w:t>Национално координационно звено (НКЗ)</w:t>
      </w:r>
    </w:p>
    <w:p w14:paraId="5F6A07CD" w14:textId="77777777" w:rsidR="002825C2" w:rsidRPr="00621B83" w:rsidRDefault="002825C2" w:rsidP="002825C2">
      <w:r w:rsidRPr="00621B83">
        <w:t>Дирекция „Централно координационно звено“ в Администрацията на Министерския съвет изпълнява функциите на Национално координационно звено (НКЗ) по ФМ на ЕИП 2014 – 2021 г. Директорът на дирекция „Централно координационно звено“ изпълнява функциите на Ръководител</w:t>
      </w:r>
      <w:r w:rsidRPr="00621B83">
        <w:rPr>
          <w:color w:val="C0504D"/>
        </w:rPr>
        <w:t xml:space="preserve"> </w:t>
      </w:r>
      <w:r w:rsidRPr="00621B83">
        <w:t xml:space="preserve">на Националното координационно звено. </w:t>
      </w:r>
    </w:p>
    <w:p w14:paraId="01BA29FB" w14:textId="77777777" w:rsidR="002825C2" w:rsidRPr="00621B83" w:rsidRDefault="002825C2" w:rsidP="002825C2">
      <w:r w:rsidRPr="00621B83">
        <w:lastRenderedPageBreak/>
        <w:t>Националното координационно звено носи цялата отговорност за постигане целите на ФМ на ЕИП, както и за изпълнението на финансовите механизми в Република България.</w:t>
      </w:r>
    </w:p>
    <w:p w14:paraId="5DE921E0" w14:textId="77777777" w:rsidR="002825C2" w:rsidRPr="00621B83" w:rsidRDefault="002825C2" w:rsidP="002825C2">
      <w:r w:rsidRPr="00621B83">
        <w:t>Националното координационно звено изпълнява и функциите на орган по нередности, съгласно чл. 5.2 от Регламента.</w:t>
      </w:r>
    </w:p>
    <w:p w14:paraId="53C58836" w14:textId="77777777" w:rsidR="00647097" w:rsidRPr="00621B83" w:rsidRDefault="00647097" w:rsidP="00DA6E42">
      <w:pPr>
        <w:numPr>
          <w:ilvl w:val="0"/>
          <w:numId w:val="6"/>
        </w:numPr>
        <w:rPr>
          <w:b/>
        </w:rPr>
      </w:pPr>
      <w:r w:rsidRPr="00621B83">
        <w:rPr>
          <w:b/>
        </w:rPr>
        <w:t>Сертифициращ орган (СО)</w:t>
      </w:r>
    </w:p>
    <w:p w14:paraId="5C07576F" w14:textId="77777777" w:rsidR="00AA4817" w:rsidRPr="00621B83" w:rsidRDefault="00AA4817" w:rsidP="00AA4817">
      <w:r w:rsidRPr="00621B83">
        <w:t>Дирекция „Национален фонд“ изпълнява функциите на Сертифициращ орган (СО) по програма „Възобновяема енергия, енергийна ефективност, енергийна сигурност“ съгласно Приложение А, Национални системи за управление и контрол от Меморандума за разбирателство по ФМ на ЕИП 2014-2021. Дирекция „Национален фонд“ е административно звено в рамките на Министерството на финансите на Република България.</w:t>
      </w:r>
    </w:p>
    <w:p w14:paraId="20B212AB" w14:textId="77777777" w:rsidR="00AA4817" w:rsidRPr="00621B83" w:rsidRDefault="00AA4817" w:rsidP="00AA4817">
      <w:pPr>
        <w:rPr>
          <w:b/>
        </w:rPr>
      </w:pPr>
      <w:r w:rsidRPr="00621B83">
        <w:t>Ролята и отговорностите на СО са определени във функционалната характеристика на дирекция „Национален фонд“, както и в процедурния наръчник в съответствие с чл. 5.4 от Регламента.</w:t>
      </w:r>
    </w:p>
    <w:p w14:paraId="6A82FFB0" w14:textId="77777777" w:rsidR="00647097" w:rsidRPr="00621B83" w:rsidRDefault="00647097" w:rsidP="00AA4817">
      <w:pPr>
        <w:numPr>
          <w:ilvl w:val="0"/>
          <w:numId w:val="6"/>
        </w:numPr>
        <w:rPr>
          <w:b/>
        </w:rPr>
      </w:pPr>
      <w:r w:rsidRPr="00621B83">
        <w:rPr>
          <w:b/>
        </w:rPr>
        <w:t>Одитен орган (ОО)</w:t>
      </w:r>
    </w:p>
    <w:p w14:paraId="3E97ED69" w14:textId="77777777" w:rsidR="00AA4817" w:rsidRPr="00621B83" w:rsidRDefault="00AA4817" w:rsidP="00AA4817">
      <w:r w:rsidRPr="00621B83">
        <w:t>Одитен орган е Изпълнителна</w:t>
      </w:r>
      <w:r w:rsidR="00083762" w:rsidRPr="00621B83">
        <w:t>та</w:t>
      </w:r>
      <w:r w:rsidRPr="00621B83">
        <w:t xml:space="preserve"> агенция „Одит на средствата от ЕС“ (ИА ОСЕС) към Министъра на финансите на Р</w:t>
      </w:r>
      <w:r w:rsidR="00513384" w:rsidRPr="00621B83">
        <w:t>епублика</w:t>
      </w:r>
      <w:r w:rsidRPr="00621B83">
        <w:t xml:space="preserve"> България. </w:t>
      </w:r>
      <w:r w:rsidR="00513384" w:rsidRPr="00621B83">
        <w:t xml:space="preserve">Изпълнителната агенция </w:t>
      </w:r>
      <w:r w:rsidRPr="00621B83">
        <w:t>е второстепенен бюджетен разпоредител към Министъра на финансите и се управлява от изпълнителен директор.</w:t>
      </w:r>
    </w:p>
    <w:p w14:paraId="657BB341" w14:textId="77777777" w:rsidR="00AA4817" w:rsidRPr="00621B83" w:rsidRDefault="005430DD" w:rsidP="00AA4817">
      <w:r w:rsidRPr="00621B83">
        <w:t xml:space="preserve">Изпълнителната агенция </w:t>
      </w:r>
      <w:r w:rsidR="00AA4817" w:rsidRPr="00621B83">
        <w:t>осъществява одитната си дейност в съответствие с международно признатите одитни стандарти и съгласно националното законодателство, приложимото законодателство на ЕС и международните споразумения за получаване на средства от ЕС, Регламента и Меморандума за разбирателство относно изпълнението на ФМ на ЕИП 2014 - 2021, по които Република България е страна.</w:t>
      </w:r>
    </w:p>
    <w:p w14:paraId="5598A3D9" w14:textId="77777777" w:rsidR="004318C4" w:rsidRPr="00621B83" w:rsidRDefault="00AA4817" w:rsidP="004318C4">
      <w:r w:rsidRPr="00621B83">
        <w:t>Одитният орган изпълнява задачите, описани в съответните регламенти и по-конкретно по чл. 5.5 и чл. 5.7 от Регламент</w:t>
      </w:r>
      <w:r w:rsidR="008979C7" w:rsidRPr="00621B83">
        <w:t>а</w:t>
      </w:r>
      <w:r w:rsidRPr="00621B83">
        <w:t xml:space="preserve">. </w:t>
      </w:r>
    </w:p>
    <w:p w14:paraId="5BD29080" w14:textId="77777777" w:rsidR="00E30321" w:rsidRPr="00621B83" w:rsidRDefault="00E30321" w:rsidP="00E30321">
      <w:pPr>
        <w:pStyle w:val="Heading1"/>
      </w:pPr>
      <w:bookmarkStart w:id="10" w:name="_Toc24983824"/>
      <w:bookmarkEnd w:id="1"/>
      <w:r w:rsidRPr="00621B83">
        <w:t>ОБЩИ И ХОРИЗОНТАЛНИ ПРИНЦИПИ</w:t>
      </w:r>
      <w:bookmarkEnd w:id="10"/>
    </w:p>
    <w:p w14:paraId="37FE6215" w14:textId="77777777" w:rsidR="00E30321" w:rsidRPr="00621B83" w:rsidRDefault="00E30321" w:rsidP="00E30321">
      <w:r w:rsidRPr="00621B83">
        <w:t>Съществуват няколко основни принципа и ценности в рамките на ЕИП 2014-2021 г., включително принципите на добро управление, устойчиво развитие, равенство между половете и недискриминация, и нулева толерантност към корупцията. Тези хоризонтални принципи са интегрирани в Програма „Възобновяема енергия, енергийна ефективност, енергийна сигурност” и трябва да бъдат следвани във всички проекти.</w:t>
      </w:r>
    </w:p>
    <w:p w14:paraId="35058277" w14:textId="77777777" w:rsidR="00E30321" w:rsidRPr="00621B83" w:rsidRDefault="00E30321" w:rsidP="00E30321">
      <w:r w:rsidRPr="00621B83">
        <w:rPr>
          <w:b/>
          <w:i/>
        </w:rPr>
        <w:t>Прозрачността</w:t>
      </w:r>
      <w:r w:rsidRPr="00621B83">
        <w:t xml:space="preserve"> и откритостта са от ключово значение за всички дейности за сътрудничество и са задължителни на всички нива.</w:t>
      </w:r>
    </w:p>
    <w:p w14:paraId="2F6AE9F8" w14:textId="77777777" w:rsidR="00E30321" w:rsidRPr="00621B83" w:rsidRDefault="00E30321" w:rsidP="00E30321">
      <w:r w:rsidRPr="00621B83">
        <w:rPr>
          <w:b/>
          <w:i/>
        </w:rPr>
        <w:t>Партньорството и сътрудничеството</w:t>
      </w:r>
      <w:r w:rsidRPr="00621B83">
        <w:t xml:space="preserve"> между български правни субекти и правни субекти от страните-донори са съществен елемент, особено в набелязаните приоритетни области, в които страните-донори допринасят с конкретен опит и ноу-хау.</w:t>
      </w:r>
    </w:p>
    <w:p w14:paraId="339EA7A9" w14:textId="77777777" w:rsidR="00E30321" w:rsidRPr="00621B83" w:rsidRDefault="00E30321" w:rsidP="00E30321">
      <w:r w:rsidRPr="00621B83">
        <w:rPr>
          <w:b/>
          <w:i/>
        </w:rPr>
        <w:t>Публичността</w:t>
      </w:r>
      <w:r w:rsidRPr="00621B83">
        <w:t xml:space="preserve"> е важен аспект. Всички страни следва активно да информират относно сътрудничеството си.</w:t>
      </w:r>
    </w:p>
    <w:p w14:paraId="6892CCB1" w14:textId="77777777" w:rsidR="00E30321" w:rsidRPr="00621B83" w:rsidRDefault="00E30321" w:rsidP="00E30321">
      <w:r w:rsidRPr="00621B83">
        <w:t xml:space="preserve">Необходимо е всички подкрепяни инициативи да насърчават </w:t>
      </w:r>
      <w:r w:rsidRPr="004623F3">
        <w:rPr>
          <w:b/>
        </w:rPr>
        <w:t>следните хоризонтални принципи</w:t>
      </w:r>
      <w:r w:rsidRPr="00621B83">
        <w:t>:</w:t>
      </w:r>
    </w:p>
    <w:p w14:paraId="62C39B62" w14:textId="77777777" w:rsidR="00E30321" w:rsidRPr="00621B83" w:rsidRDefault="00E30321" w:rsidP="00083762">
      <w:pPr>
        <w:numPr>
          <w:ilvl w:val="0"/>
          <w:numId w:val="5"/>
        </w:numPr>
      </w:pPr>
      <w:r w:rsidRPr="00621B83">
        <w:lastRenderedPageBreak/>
        <w:t>да се основават на общите ценности за зачитане на човешкото достойнство, свободата, демокрацията, равенството, върховенството на закона и зачитането на правата на човека, включително правата на лицата, принадлежащи към малцинства</w:t>
      </w:r>
      <w:r w:rsidR="00083762" w:rsidRPr="00621B83">
        <w:t>;</w:t>
      </w:r>
    </w:p>
    <w:p w14:paraId="052CECD3" w14:textId="77777777" w:rsidR="00E30321" w:rsidRPr="00621B83" w:rsidRDefault="00E30321" w:rsidP="00083762">
      <w:pPr>
        <w:numPr>
          <w:ilvl w:val="0"/>
          <w:numId w:val="5"/>
        </w:numPr>
      </w:pPr>
      <w:r w:rsidRPr="00621B83">
        <w:t>да следват принципите на доброто управление – участие и приобщаване на всички заинтересовани страни в различните фази на развитие и изпълнение на проектите, включително отчетност, прозрачност, ефективност и ефикасност на проектните дейности;</w:t>
      </w:r>
    </w:p>
    <w:p w14:paraId="2786158C" w14:textId="77777777" w:rsidR="00631B3D" w:rsidRPr="00621B83" w:rsidRDefault="00E30321" w:rsidP="00083762">
      <w:pPr>
        <w:numPr>
          <w:ilvl w:val="0"/>
          <w:numId w:val="5"/>
        </w:numPr>
      </w:pPr>
      <w:r w:rsidRPr="00621B83">
        <w:t>да бъдат в съответствие с принципите на устойчивото развитие, дългосрочния икономически растеж, социалното сближаване и опазването на околната среда.</w:t>
      </w:r>
    </w:p>
    <w:p w14:paraId="5DF56CDB" w14:textId="77777777" w:rsidR="00631B3D" w:rsidRPr="00621B83" w:rsidRDefault="00631B3D" w:rsidP="00631B3D">
      <w:r w:rsidRPr="00621B83">
        <w:rPr>
          <w:rFonts w:hint="eastAsia"/>
        </w:rPr>
        <w:t>Във</w:t>
      </w:r>
      <w:r w:rsidRPr="00621B83">
        <w:t xml:space="preserve"> </w:t>
      </w:r>
      <w:r w:rsidRPr="00621B83">
        <w:rPr>
          <w:rFonts w:hint="eastAsia"/>
        </w:rPr>
        <w:t>всяко</w:t>
      </w:r>
      <w:r w:rsidRPr="00621B83">
        <w:t xml:space="preserve"> </w:t>
      </w:r>
      <w:r w:rsidRPr="00621B83">
        <w:rPr>
          <w:rFonts w:hint="eastAsia"/>
        </w:rPr>
        <w:t>проектно</w:t>
      </w:r>
      <w:r w:rsidRPr="00621B83">
        <w:t xml:space="preserve"> </w:t>
      </w:r>
      <w:r w:rsidRPr="00621B83">
        <w:rPr>
          <w:rFonts w:hint="eastAsia"/>
        </w:rPr>
        <w:t>предложение</w:t>
      </w:r>
      <w:r w:rsidRPr="00621B83">
        <w:t xml:space="preserve"> </w:t>
      </w:r>
      <w:r w:rsidRPr="00621B83">
        <w:rPr>
          <w:rFonts w:hint="eastAsia"/>
        </w:rPr>
        <w:t>в</w:t>
      </w:r>
      <w:r w:rsidRPr="00621B83">
        <w:t xml:space="preserve"> </w:t>
      </w:r>
      <w:r w:rsidRPr="00621B83">
        <w:rPr>
          <w:rFonts w:hint="eastAsia"/>
        </w:rPr>
        <w:t>т</w:t>
      </w:r>
      <w:r w:rsidRPr="00621B83">
        <w:t xml:space="preserve">. 11 </w:t>
      </w:r>
      <w:r w:rsidRPr="00621B83">
        <w:rPr>
          <w:rFonts w:hint="eastAsia"/>
        </w:rPr>
        <w:t>от</w:t>
      </w:r>
      <w:r w:rsidRPr="00621B83">
        <w:t xml:space="preserve"> </w:t>
      </w:r>
      <w:r w:rsidR="00083762" w:rsidRPr="00621B83">
        <w:t>Ф</w:t>
      </w:r>
      <w:r w:rsidRPr="00621B83">
        <w:rPr>
          <w:rFonts w:hint="eastAsia"/>
        </w:rPr>
        <w:t>ормуляра</w:t>
      </w:r>
      <w:r w:rsidRPr="00621B83">
        <w:t xml:space="preserve"> </w:t>
      </w:r>
      <w:r w:rsidRPr="00621B83">
        <w:rPr>
          <w:rFonts w:hint="eastAsia"/>
        </w:rPr>
        <w:t>за</w:t>
      </w:r>
      <w:r w:rsidRPr="00621B83">
        <w:t xml:space="preserve"> </w:t>
      </w:r>
      <w:r w:rsidRPr="00621B83">
        <w:rPr>
          <w:rFonts w:hint="eastAsia"/>
        </w:rPr>
        <w:t>кандидатстване</w:t>
      </w:r>
      <w:r w:rsidRPr="00621B83">
        <w:t xml:space="preserve"> </w:t>
      </w:r>
      <w:r w:rsidR="00083762" w:rsidRPr="00621B83">
        <w:t>К</w:t>
      </w:r>
      <w:r w:rsidRPr="00621B83">
        <w:rPr>
          <w:rFonts w:hint="eastAsia"/>
        </w:rPr>
        <w:t>андидатите</w:t>
      </w:r>
      <w:r w:rsidRPr="00621B83">
        <w:t xml:space="preserve"> </w:t>
      </w:r>
      <w:r w:rsidRPr="00621B83">
        <w:rPr>
          <w:rFonts w:hint="eastAsia"/>
        </w:rPr>
        <w:t>следва</w:t>
      </w:r>
      <w:r w:rsidRPr="00621B83">
        <w:t xml:space="preserve"> </w:t>
      </w:r>
      <w:r w:rsidRPr="00621B83">
        <w:rPr>
          <w:rFonts w:hint="eastAsia"/>
        </w:rPr>
        <w:t>да</w:t>
      </w:r>
      <w:r w:rsidRPr="00621B83">
        <w:t xml:space="preserve"> </w:t>
      </w:r>
      <w:r w:rsidRPr="00621B83">
        <w:rPr>
          <w:rFonts w:hint="eastAsia"/>
        </w:rPr>
        <w:t>представят</w:t>
      </w:r>
      <w:r w:rsidRPr="00621B83">
        <w:t xml:space="preserve"> </w:t>
      </w:r>
      <w:r w:rsidRPr="00621B83">
        <w:rPr>
          <w:rFonts w:hint="eastAsia"/>
        </w:rPr>
        <w:t>информация</w:t>
      </w:r>
      <w:r w:rsidRPr="00621B83">
        <w:t xml:space="preserve"> </w:t>
      </w:r>
      <w:r w:rsidRPr="00621B83">
        <w:rPr>
          <w:rFonts w:hint="eastAsia"/>
        </w:rPr>
        <w:t>за</w:t>
      </w:r>
      <w:r w:rsidRPr="00621B83">
        <w:t xml:space="preserve"> </w:t>
      </w:r>
      <w:r w:rsidRPr="00621B83">
        <w:rPr>
          <w:rFonts w:hint="eastAsia"/>
        </w:rPr>
        <w:t>съответствието</w:t>
      </w:r>
      <w:r w:rsidRPr="00621B83">
        <w:t xml:space="preserve"> </w:t>
      </w:r>
      <w:r w:rsidRPr="00621B83">
        <w:rPr>
          <w:rFonts w:hint="eastAsia"/>
        </w:rPr>
        <w:t>на</w:t>
      </w:r>
      <w:r w:rsidRPr="00621B83">
        <w:t xml:space="preserve"> </w:t>
      </w:r>
      <w:r w:rsidRPr="00621B83">
        <w:rPr>
          <w:rFonts w:hint="eastAsia"/>
        </w:rPr>
        <w:t>проектното</w:t>
      </w:r>
      <w:r w:rsidRPr="00621B83">
        <w:t xml:space="preserve"> </w:t>
      </w:r>
      <w:r w:rsidRPr="00621B83">
        <w:rPr>
          <w:rFonts w:hint="eastAsia"/>
        </w:rPr>
        <w:t>предложение</w:t>
      </w:r>
      <w:r w:rsidRPr="00621B83">
        <w:t xml:space="preserve"> </w:t>
      </w:r>
      <w:r w:rsidRPr="00621B83">
        <w:rPr>
          <w:rFonts w:hint="eastAsia"/>
        </w:rPr>
        <w:t>с</w:t>
      </w:r>
      <w:r w:rsidRPr="00621B83">
        <w:t xml:space="preserve"> </w:t>
      </w:r>
      <w:r w:rsidRPr="00621B83">
        <w:rPr>
          <w:rFonts w:hint="eastAsia"/>
        </w:rPr>
        <w:t>посочените</w:t>
      </w:r>
      <w:r w:rsidRPr="00621B83">
        <w:t xml:space="preserve"> </w:t>
      </w:r>
      <w:r w:rsidRPr="00621B83">
        <w:rPr>
          <w:rFonts w:hint="eastAsia"/>
        </w:rPr>
        <w:t>принципи</w:t>
      </w:r>
      <w:r w:rsidRPr="00621B83">
        <w:t xml:space="preserve">. </w:t>
      </w:r>
      <w:r w:rsidRPr="00621B83">
        <w:rPr>
          <w:rFonts w:hint="eastAsia"/>
        </w:rPr>
        <w:t>Прилагането</w:t>
      </w:r>
      <w:r w:rsidRPr="00621B83">
        <w:t xml:space="preserve"> </w:t>
      </w:r>
      <w:r w:rsidRPr="00621B83">
        <w:rPr>
          <w:rFonts w:hint="eastAsia"/>
        </w:rPr>
        <w:t>на</w:t>
      </w:r>
      <w:r w:rsidRPr="00621B83">
        <w:t xml:space="preserve"> </w:t>
      </w:r>
      <w:r w:rsidRPr="00621B83">
        <w:rPr>
          <w:rFonts w:hint="eastAsia"/>
        </w:rPr>
        <w:t>заложените</w:t>
      </w:r>
      <w:r w:rsidRPr="00621B83">
        <w:t xml:space="preserve"> </w:t>
      </w:r>
      <w:r w:rsidRPr="00621B83">
        <w:rPr>
          <w:rFonts w:hint="eastAsia"/>
        </w:rPr>
        <w:t>в</w:t>
      </w:r>
      <w:r w:rsidRPr="00621B83">
        <w:t xml:space="preserve"> </w:t>
      </w:r>
      <w:r w:rsidRPr="00621B83">
        <w:rPr>
          <w:rFonts w:hint="eastAsia"/>
        </w:rPr>
        <w:t>проекта</w:t>
      </w:r>
      <w:r w:rsidRPr="00621B83">
        <w:t xml:space="preserve"> </w:t>
      </w:r>
      <w:r w:rsidRPr="00621B83">
        <w:rPr>
          <w:rFonts w:hint="eastAsia"/>
        </w:rPr>
        <w:t>принципи</w:t>
      </w:r>
      <w:r w:rsidRPr="00621B83">
        <w:t xml:space="preserve"> </w:t>
      </w:r>
      <w:r w:rsidRPr="00621B83">
        <w:rPr>
          <w:rFonts w:hint="eastAsia"/>
        </w:rPr>
        <w:t>ще</w:t>
      </w:r>
      <w:r w:rsidRPr="00621B83">
        <w:t xml:space="preserve"> </w:t>
      </w:r>
      <w:r w:rsidRPr="00621B83">
        <w:rPr>
          <w:rFonts w:hint="eastAsia"/>
        </w:rPr>
        <w:t>се</w:t>
      </w:r>
      <w:r w:rsidRPr="00621B83">
        <w:t xml:space="preserve"> </w:t>
      </w:r>
      <w:r w:rsidRPr="00621B83">
        <w:rPr>
          <w:rFonts w:hint="eastAsia"/>
        </w:rPr>
        <w:t>проследява</w:t>
      </w:r>
      <w:r w:rsidRPr="00621B83">
        <w:t xml:space="preserve"> </w:t>
      </w:r>
      <w:r w:rsidRPr="00621B83">
        <w:rPr>
          <w:rFonts w:hint="eastAsia"/>
        </w:rPr>
        <w:t>на</w:t>
      </w:r>
      <w:r w:rsidRPr="00621B83">
        <w:t xml:space="preserve"> </w:t>
      </w:r>
      <w:r w:rsidRPr="00621B83">
        <w:rPr>
          <w:rFonts w:hint="eastAsia"/>
        </w:rPr>
        <w:t>етап</w:t>
      </w:r>
      <w:r w:rsidRPr="00621B83">
        <w:t xml:space="preserve"> </w:t>
      </w:r>
      <w:r w:rsidRPr="00621B83">
        <w:rPr>
          <w:rFonts w:hint="eastAsia"/>
        </w:rPr>
        <w:t>изпълнение</w:t>
      </w:r>
      <w:r w:rsidRPr="00621B83">
        <w:t xml:space="preserve"> </w:t>
      </w:r>
      <w:r w:rsidRPr="00621B83">
        <w:rPr>
          <w:rFonts w:hint="eastAsia"/>
        </w:rPr>
        <w:t>на</w:t>
      </w:r>
      <w:r w:rsidRPr="00621B83">
        <w:t xml:space="preserve"> </w:t>
      </w:r>
      <w:r w:rsidRPr="00621B83">
        <w:rPr>
          <w:rFonts w:hint="eastAsia"/>
        </w:rPr>
        <w:t>проектното</w:t>
      </w:r>
      <w:r w:rsidRPr="00621B83">
        <w:t xml:space="preserve"> </w:t>
      </w:r>
      <w:r w:rsidRPr="00621B83">
        <w:rPr>
          <w:rFonts w:hint="eastAsia"/>
        </w:rPr>
        <w:t>предложение</w:t>
      </w:r>
      <w:r w:rsidRPr="00621B83">
        <w:t>.</w:t>
      </w:r>
    </w:p>
    <w:p w14:paraId="2B5DF4F6" w14:textId="77777777" w:rsidR="000D6180" w:rsidRPr="00621B83" w:rsidRDefault="00452C58" w:rsidP="0080251B">
      <w:pPr>
        <w:pStyle w:val="Heading1"/>
      </w:pPr>
      <w:bookmarkStart w:id="11" w:name="_Toc24983825"/>
      <w:r w:rsidRPr="00621B83">
        <w:t>ЦЕЛ, ИНДИКАТОРИ, ОЧАКВАНИ РЕЗУЛТАТИ</w:t>
      </w:r>
      <w:r w:rsidR="00922666" w:rsidRPr="00621B83">
        <w:t xml:space="preserve"> ПО ПРОЦЕДУРАТА ЗА ПОДБОР НА ПРОЕКТИ</w:t>
      </w:r>
      <w:bookmarkEnd w:id="11"/>
    </w:p>
    <w:p w14:paraId="4E8B4E51" w14:textId="77777777" w:rsidR="008C29C2" w:rsidRPr="00621B83" w:rsidRDefault="008C29C2" w:rsidP="008C29C2">
      <w:r w:rsidRPr="00621B83">
        <w:t xml:space="preserve">По процедура </w:t>
      </w:r>
      <w:r w:rsidR="00452C58" w:rsidRPr="00621B83">
        <w:t xml:space="preserve">за подбор на проекти </w:t>
      </w:r>
      <w:r w:rsidRPr="00621B83">
        <w:t>„Рехабилитация и модернизация на общинската инфраструктура - системи за външно изкуствено осветление на общините” се предвижда предоставяне на безвъзмездна финансова помощ</w:t>
      </w:r>
      <w:r w:rsidR="00F2299D" w:rsidRPr="00621B83">
        <w:t xml:space="preserve"> (БФП)</w:t>
      </w:r>
      <w:r w:rsidRPr="00621B83">
        <w:t xml:space="preserve"> за </w:t>
      </w:r>
      <w:r w:rsidR="00C90807" w:rsidRPr="00621B83">
        <w:t xml:space="preserve">реконструкция </w:t>
      </w:r>
      <w:r w:rsidRPr="00621B83">
        <w:t>и модернизация на систем</w:t>
      </w:r>
      <w:r w:rsidR="00F24F75" w:rsidRPr="00621B83">
        <w:t>а/</w:t>
      </w:r>
      <w:r w:rsidRPr="00621B83">
        <w:t>и за външно изкуствено осветление</w:t>
      </w:r>
      <w:r w:rsidR="00D658A7" w:rsidRPr="00621B83">
        <w:t>.</w:t>
      </w:r>
    </w:p>
    <w:p w14:paraId="5148682B" w14:textId="77777777" w:rsidR="00343AD6" w:rsidRPr="00621B83" w:rsidRDefault="00343AD6" w:rsidP="00343AD6">
      <w:r w:rsidRPr="00621B83">
        <w:t>Енергийната ефективност представлява и ще остане приоритет за Р</w:t>
      </w:r>
      <w:r w:rsidR="002A3324" w:rsidRPr="00621B83">
        <w:t>епублика</w:t>
      </w:r>
      <w:r w:rsidRPr="00621B83">
        <w:t xml:space="preserve"> България в дългосрочен план в контекста на усилията за намаляване на енергийното потребление и на зависимостта от внос на енергийни ресурси. </w:t>
      </w:r>
    </w:p>
    <w:p w14:paraId="61D1254B" w14:textId="77777777" w:rsidR="00343AD6" w:rsidRPr="00621B83" w:rsidRDefault="00343AD6" w:rsidP="00343AD6">
      <w:r w:rsidRPr="00621B83">
        <w:t>Енергийно ефективното осветление е приоритет както на национално, така и на европейско ниво. Уличното осветление е един от големите ко</w:t>
      </w:r>
      <w:r w:rsidR="00702F26" w:rsidRPr="00621B83">
        <w:t xml:space="preserve">нсуматори на енергия в общините, което </w:t>
      </w:r>
      <w:r w:rsidRPr="00621B83">
        <w:t xml:space="preserve"> </w:t>
      </w:r>
      <w:r w:rsidR="00702F26" w:rsidRPr="00621B83">
        <w:t>оказва влияние н</w:t>
      </w:r>
      <w:r w:rsidRPr="00621B83">
        <w:t>а ръста на енергийното потребление през последните години.</w:t>
      </w:r>
    </w:p>
    <w:p w14:paraId="2F9088C3" w14:textId="77777777" w:rsidR="00B91781" w:rsidRPr="00621B83" w:rsidRDefault="00B91781" w:rsidP="00B91781">
      <w:r w:rsidRPr="00621B83">
        <w:t>Процедура „Рехабилитация и модернизация на общинската инфраструктура - системи за външно изкуствено осветление на общините” има за цел</w:t>
      </w:r>
      <w:r w:rsidR="002A3324" w:rsidRPr="00621B83">
        <w:t xml:space="preserve"> да</w:t>
      </w:r>
      <w:r w:rsidRPr="00621B83">
        <w:t xml:space="preserve"> повиш</w:t>
      </w:r>
      <w:r w:rsidR="002A3324" w:rsidRPr="00621B83">
        <w:t>и</w:t>
      </w:r>
      <w:r w:rsidRPr="00621B83">
        <w:t xml:space="preserve"> енергийната ефективност чрез технологично обновление и модернизиране на системите за външно изкуствено осветление, собственост на българските общини и</w:t>
      </w:r>
      <w:r w:rsidR="002A3324" w:rsidRPr="00621B83">
        <w:t xml:space="preserve"> да</w:t>
      </w:r>
      <w:r w:rsidRPr="00621B83">
        <w:t xml:space="preserve"> подобр</w:t>
      </w:r>
      <w:r w:rsidR="002A3324" w:rsidRPr="00621B83">
        <w:t>и</w:t>
      </w:r>
      <w:r w:rsidRPr="00621B83">
        <w:t xml:space="preserve"> условията на живот на населението.</w:t>
      </w:r>
    </w:p>
    <w:p w14:paraId="56DB6480" w14:textId="77777777" w:rsidR="00306FAD" w:rsidRPr="00621B83" w:rsidRDefault="009E6FF2" w:rsidP="000960BD">
      <w:r w:rsidRPr="00621B83">
        <w:t xml:space="preserve">Проектните предложения по настоящата процедура следва </w:t>
      </w:r>
      <w:r w:rsidR="00083762" w:rsidRPr="00621B83">
        <w:t>задължително до имат принос</w:t>
      </w:r>
      <w:r w:rsidR="00571523" w:rsidRPr="00621B83">
        <w:t xml:space="preserve"> към</w:t>
      </w:r>
      <w:r w:rsidRPr="00621B83">
        <w:t xml:space="preserve"> постигане на следните индикатори </w:t>
      </w:r>
      <w:r w:rsidR="00995B75" w:rsidRPr="00621B83">
        <w:t>з</w:t>
      </w:r>
      <w:r w:rsidR="0049556E" w:rsidRPr="00621B83">
        <w:t xml:space="preserve">а </w:t>
      </w:r>
      <w:r w:rsidR="00995B75" w:rsidRPr="00621B83">
        <w:t xml:space="preserve">изпълнение на </w:t>
      </w:r>
      <w:r w:rsidR="00995B75" w:rsidRPr="00AA3049">
        <w:t>резултат</w:t>
      </w:r>
      <w:r w:rsidR="00D55054" w:rsidRPr="00AA3049">
        <w:t xml:space="preserve"> </w:t>
      </w:r>
      <w:r w:rsidR="00D55054" w:rsidRPr="00AA3049">
        <w:rPr>
          <w:lang w:eastAsia="ar-SA"/>
        </w:rPr>
        <w:t>2:</w:t>
      </w:r>
      <w:r w:rsidR="00995B75" w:rsidRPr="00716C51">
        <w:rPr>
          <w:lang w:eastAsia="ar-SA"/>
        </w:rPr>
        <w:t xml:space="preserve"> </w:t>
      </w:r>
      <w:r w:rsidR="00995B75" w:rsidRPr="00621B83">
        <w:t>„Подобряване на енергийната ефективност в сградите, индустрията и общините“</w:t>
      </w:r>
      <w:r w:rsidR="00D42400" w:rsidRPr="00621B83">
        <w:t xml:space="preserve"> по Програмата</w:t>
      </w:r>
      <w:r w:rsidR="00306FAD" w:rsidRPr="00621B83">
        <w:t>:</w:t>
      </w:r>
    </w:p>
    <w:p w14:paraId="39AB5D2A" w14:textId="77777777" w:rsidR="000B1836" w:rsidRPr="00621B83" w:rsidRDefault="0063220F" w:rsidP="009D650A">
      <w:pPr>
        <w:numPr>
          <w:ilvl w:val="0"/>
          <w:numId w:val="35"/>
        </w:numPr>
        <w:rPr>
          <w:i/>
          <w:color w:val="000000"/>
        </w:rPr>
      </w:pPr>
      <w:r w:rsidRPr="00621B83">
        <w:rPr>
          <w:b/>
          <w:i/>
        </w:rPr>
        <w:t xml:space="preserve">Индикатор 1: </w:t>
      </w:r>
      <w:r w:rsidR="009D650A" w:rsidRPr="00621B83">
        <w:rPr>
          <w:i/>
          <w:color w:val="000000"/>
        </w:rPr>
        <w:t>Прогнозни годишни намаления на емисиите на CO</w:t>
      </w:r>
      <w:r w:rsidR="009D650A" w:rsidRPr="00621B83">
        <w:rPr>
          <w:i/>
          <w:color w:val="000000"/>
          <w:vertAlign w:val="subscript"/>
        </w:rPr>
        <w:t>2</w:t>
      </w:r>
      <w:r w:rsidR="00933FAC" w:rsidRPr="00621B83">
        <w:rPr>
          <w:i/>
          <w:color w:val="000000"/>
        </w:rPr>
        <w:t xml:space="preserve"> – </w:t>
      </w:r>
      <w:r w:rsidR="00114AFE" w:rsidRPr="00621B83">
        <w:rPr>
          <w:i/>
          <w:color w:val="000000"/>
        </w:rPr>
        <w:t xml:space="preserve">118 000 </w:t>
      </w:r>
      <w:r w:rsidR="00933FAC" w:rsidRPr="00621B83">
        <w:rPr>
          <w:i/>
          <w:color w:val="000000"/>
        </w:rPr>
        <w:t>tCO2/г.;</w:t>
      </w:r>
    </w:p>
    <w:p w14:paraId="7E21E5DA" w14:textId="77777777" w:rsidR="00933FAC" w:rsidRPr="00621B83" w:rsidRDefault="00D669FE" w:rsidP="000D6180">
      <w:pPr>
        <w:rPr>
          <w:color w:val="000000"/>
        </w:rPr>
      </w:pPr>
      <w:r w:rsidRPr="00621B83">
        <w:rPr>
          <w:color w:val="000000"/>
        </w:rPr>
        <w:t xml:space="preserve">Количеството на емисиите на парникови газове се определя въз основа на </w:t>
      </w:r>
      <w:r w:rsidR="0064726F" w:rsidRPr="00621B83">
        <w:rPr>
          <w:color w:val="000000"/>
        </w:rPr>
        <w:t xml:space="preserve">количеството спестената енергия умножена по </w:t>
      </w:r>
      <w:r w:rsidR="00933FAC" w:rsidRPr="00621B83">
        <w:rPr>
          <w:color w:val="000000"/>
        </w:rPr>
        <w:t xml:space="preserve">емисионен фактор от 1.18  tCO2/MWh. </w:t>
      </w:r>
    </w:p>
    <w:p w14:paraId="757BD4FA" w14:textId="77777777" w:rsidR="00933FAC" w:rsidRPr="00621B83" w:rsidRDefault="0063220F" w:rsidP="009D650A">
      <w:pPr>
        <w:numPr>
          <w:ilvl w:val="0"/>
          <w:numId w:val="35"/>
        </w:numPr>
        <w:rPr>
          <w:b/>
          <w:i/>
          <w:color w:val="C45911"/>
        </w:rPr>
      </w:pPr>
      <w:r w:rsidRPr="00621B83">
        <w:rPr>
          <w:b/>
          <w:i/>
        </w:rPr>
        <w:t xml:space="preserve">Индикатор 2: </w:t>
      </w:r>
      <w:r w:rsidR="009D650A" w:rsidRPr="00621B83">
        <w:rPr>
          <w:i/>
          <w:color w:val="000000"/>
        </w:rPr>
        <w:t xml:space="preserve">Прогнозни </w:t>
      </w:r>
      <w:r w:rsidR="00595AB0" w:rsidRPr="00621B83">
        <w:rPr>
          <w:i/>
          <w:color w:val="000000"/>
        </w:rPr>
        <w:t>годишни е</w:t>
      </w:r>
      <w:r w:rsidR="00933FAC" w:rsidRPr="00621B83">
        <w:rPr>
          <w:i/>
          <w:color w:val="000000"/>
        </w:rPr>
        <w:t>нергийни спестявания</w:t>
      </w:r>
      <w:r w:rsidR="00595AB0" w:rsidRPr="00621B83">
        <w:rPr>
          <w:i/>
          <w:color w:val="000000"/>
        </w:rPr>
        <w:t xml:space="preserve"> </w:t>
      </w:r>
      <w:r w:rsidR="00933FAC" w:rsidRPr="00621B83">
        <w:rPr>
          <w:i/>
          <w:color w:val="000000"/>
        </w:rPr>
        <w:t xml:space="preserve">– </w:t>
      </w:r>
      <w:r w:rsidR="00114AFE" w:rsidRPr="00621B83">
        <w:rPr>
          <w:i/>
          <w:color w:val="000000"/>
        </w:rPr>
        <w:t xml:space="preserve">117 000 </w:t>
      </w:r>
      <w:r w:rsidR="00933FAC" w:rsidRPr="00621B83">
        <w:rPr>
          <w:i/>
          <w:color w:val="000000"/>
        </w:rPr>
        <w:t>MWh/г.</w:t>
      </w:r>
      <w:r w:rsidR="00D658A7" w:rsidRPr="00621B83">
        <w:rPr>
          <w:i/>
          <w:color w:val="000000"/>
        </w:rPr>
        <w:t>;</w:t>
      </w:r>
    </w:p>
    <w:p w14:paraId="2AA67388" w14:textId="77777777" w:rsidR="00A65FE0" w:rsidRPr="00621B83" w:rsidRDefault="00040CC9" w:rsidP="00040CC9">
      <w:pPr>
        <w:rPr>
          <w:color w:val="000000"/>
        </w:rPr>
      </w:pPr>
      <w:r w:rsidRPr="00621B83">
        <w:rPr>
          <w:color w:val="000000"/>
        </w:rPr>
        <w:t xml:space="preserve">Количеството енергийни спестявания се определя като разлика между годишното количество потребена електрическа енергия при базово състояние преди </w:t>
      </w:r>
      <w:r w:rsidR="00B8294F" w:rsidRPr="00621B83">
        <w:rPr>
          <w:color w:val="000000"/>
        </w:rPr>
        <w:t>енергоспестяващите мерки (</w:t>
      </w:r>
      <w:r w:rsidRPr="00621B83">
        <w:rPr>
          <w:color w:val="000000"/>
        </w:rPr>
        <w:t>ЕСМ</w:t>
      </w:r>
      <w:r w:rsidR="00B8294F" w:rsidRPr="00621B83">
        <w:rPr>
          <w:color w:val="000000"/>
        </w:rPr>
        <w:t xml:space="preserve">) и годишното количество потребена електрическа енергия след изпълнение на ЕСМ. </w:t>
      </w:r>
      <w:r w:rsidR="005B278B" w:rsidRPr="00621B83">
        <w:rPr>
          <w:color w:val="000000"/>
        </w:rPr>
        <w:t xml:space="preserve">За енергийни спестявания се отчита и </w:t>
      </w:r>
      <w:r w:rsidR="00A831B1" w:rsidRPr="00621B83">
        <w:rPr>
          <w:color w:val="000000"/>
        </w:rPr>
        <w:t xml:space="preserve">потребената електрическа енергия, която е произведена от </w:t>
      </w:r>
      <w:r w:rsidR="005B278B" w:rsidRPr="00621B83">
        <w:rPr>
          <w:color w:val="000000"/>
        </w:rPr>
        <w:t xml:space="preserve">съоръжения за </w:t>
      </w:r>
      <w:r w:rsidR="005B278B" w:rsidRPr="00621B83">
        <w:rPr>
          <w:color w:val="000000"/>
        </w:rPr>
        <w:lastRenderedPageBreak/>
        <w:t>производство на електрическа енергия от възобновяеми източници</w:t>
      </w:r>
      <w:r w:rsidR="00A831B1" w:rsidRPr="00621B83">
        <w:rPr>
          <w:color w:val="000000"/>
        </w:rPr>
        <w:t xml:space="preserve">, които се въвеждат в изпълнение на мерки по </w:t>
      </w:r>
      <w:r w:rsidR="00A65FE0" w:rsidRPr="00621B83">
        <w:rPr>
          <w:color w:val="000000"/>
        </w:rPr>
        <w:t>тази процедура.</w:t>
      </w:r>
      <w:r w:rsidR="005B278B" w:rsidRPr="00621B83">
        <w:rPr>
          <w:color w:val="000000"/>
        </w:rPr>
        <w:t xml:space="preserve"> </w:t>
      </w:r>
    </w:p>
    <w:p w14:paraId="4EAAF3DC" w14:textId="77777777" w:rsidR="00204859" w:rsidRPr="00621B83" w:rsidRDefault="00933FAC" w:rsidP="000D6180">
      <w:pPr>
        <w:rPr>
          <w:color w:val="000000"/>
        </w:rPr>
      </w:pPr>
      <w:r w:rsidRPr="00621B83">
        <w:rPr>
          <w:color w:val="000000"/>
        </w:rPr>
        <w:t xml:space="preserve">Количеството енергийни спестявания следва да съответства на </w:t>
      </w:r>
      <w:r w:rsidR="00443F23" w:rsidRPr="00621B83">
        <w:rPr>
          <w:color w:val="000000"/>
        </w:rPr>
        <w:t xml:space="preserve">определеното </w:t>
      </w:r>
      <w:r w:rsidRPr="00621B83">
        <w:rPr>
          <w:color w:val="000000"/>
        </w:rPr>
        <w:t xml:space="preserve">в </w:t>
      </w:r>
      <w:r w:rsidR="00E017B7" w:rsidRPr="00621B83">
        <w:rPr>
          <w:color w:val="000000"/>
        </w:rPr>
        <w:t xml:space="preserve">Доклада от </w:t>
      </w:r>
      <w:r w:rsidR="000960BD" w:rsidRPr="00621B83">
        <w:rPr>
          <w:color w:val="000000"/>
        </w:rPr>
        <w:t>обследването за енергийн</w:t>
      </w:r>
      <w:r w:rsidR="00E66A12" w:rsidRPr="00621B83">
        <w:rPr>
          <w:color w:val="000000"/>
        </w:rPr>
        <w:t>а</w:t>
      </w:r>
      <w:r w:rsidR="000960BD" w:rsidRPr="00621B83">
        <w:rPr>
          <w:color w:val="000000"/>
        </w:rPr>
        <w:t xml:space="preserve"> ефективност</w:t>
      </w:r>
      <w:r w:rsidR="00D658A7" w:rsidRPr="00621B83">
        <w:rPr>
          <w:color w:val="000000"/>
        </w:rPr>
        <w:t xml:space="preserve"> за всяка система за външно изкуствено осветление</w:t>
      </w:r>
      <w:r w:rsidRPr="00621B83">
        <w:rPr>
          <w:color w:val="000000"/>
        </w:rPr>
        <w:t>.</w:t>
      </w:r>
      <w:r w:rsidR="00204859" w:rsidRPr="00621B83">
        <w:rPr>
          <w:color w:val="000000"/>
        </w:rPr>
        <w:t xml:space="preserve"> Количеството енергийни спестявания трябва да се актуализират съгласно техническите параметри </w:t>
      </w:r>
      <w:r w:rsidR="00FE4102" w:rsidRPr="00621B83">
        <w:rPr>
          <w:color w:val="000000"/>
        </w:rPr>
        <w:t>заложени в</w:t>
      </w:r>
      <w:r w:rsidR="00204859" w:rsidRPr="00621B83">
        <w:rPr>
          <w:color w:val="000000"/>
        </w:rPr>
        <w:t xml:space="preserve"> работния проект.</w:t>
      </w:r>
    </w:p>
    <w:p w14:paraId="0F5A1564" w14:textId="77777777" w:rsidR="00933FAC" w:rsidRPr="00621B83" w:rsidRDefault="0063220F" w:rsidP="009D650A">
      <w:pPr>
        <w:numPr>
          <w:ilvl w:val="0"/>
          <w:numId w:val="35"/>
        </w:numPr>
        <w:rPr>
          <w:i/>
          <w:color w:val="000000"/>
        </w:rPr>
      </w:pPr>
      <w:r w:rsidRPr="00621B83">
        <w:rPr>
          <w:b/>
          <w:i/>
        </w:rPr>
        <w:t xml:space="preserve">Индикатор 3: </w:t>
      </w:r>
      <w:r w:rsidR="009D650A" w:rsidRPr="00621B83">
        <w:rPr>
          <w:i/>
          <w:color w:val="000000"/>
        </w:rPr>
        <w:t xml:space="preserve">Прогнозни </w:t>
      </w:r>
      <w:r w:rsidR="00595AB0" w:rsidRPr="00621B83">
        <w:rPr>
          <w:i/>
          <w:color w:val="000000"/>
        </w:rPr>
        <w:t xml:space="preserve">годишни </w:t>
      </w:r>
      <w:r w:rsidR="009D650A" w:rsidRPr="00621B83">
        <w:rPr>
          <w:i/>
          <w:color w:val="000000"/>
        </w:rPr>
        <w:t>парични спестявания</w:t>
      </w:r>
      <w:r w:rsidR="00933FAC" w:rsidRPr="00621B83">
        <w:rPr>
          <w:i/>
          <w:color w:val="000000"/>
        </w:rPr>
        <w:t xml:space="preserve"> – </w:t>
      </w:r>
      <w:r w:rsidR="00114AFE" w:rsidRPr="00621B83">
        <w:rPr>
          <w:i/>
          <w:color w:val="000000"/>
        </w:rPr>
        <w:t xml:space="preserve">8 000 000 </w:t>
      </w:r>
      <w:r w:rsidR="00933FAC" w:rsidRPr="00621B83">
        <w:rPr>
          <w:i/>
          <w:color w:val="000000"/>
        </w:rPr>
        <w:t>EURO/г.</w:t>
      </w:r>
    </w:p>
    <w:p w14:paraId="0DF36856" w14:textId="77777777" w:rsidR="00384086" w:rsidRPr="00621B83" w:rsidRDefault="003F2889" w:rsidP="00384086">
      <w:r w:rsidRPr="00621B83">
        <w:t>С</w:t>
      </w:r>
      <w:r w:rsidR="00427821" w:rsidRPr="00621B83">
        <w:t xml:space="preserve">пестените средства </w:t>
      </w:r>
      <w:r w:rsidR="00DC1442" w:rsidRPr="00621B83">
        <w:t>се изчислява</w:t>
      </w:r>
      <w:r w:rsidR="003961C3" w:rsidRPr="00621B83">
        <w:t>т</w:t>
      </w:r>
      <w:r w:rsidR="00DC1442" w:rsidRPr="00621B83">
        <w:t xml:space="preserve"> като </w:t>
      </w:r>
      <w:r w:rsidR="00427821" w:rsidRPr="00621B83">
        <w:t>количеството енергийни спестявания</w:t>
      </w:r>
      <w:r w:rsidR="00DC1442" w:rsidRPr="00621B83">
        <w:t xml:space="preserve"> се </w:t>
      </w:r>
      <w:r w:rsidR="0011699C" w:rsidRPr="00621B83">
        <w:t>остойност</w:t>
      </w:r>
      <w:r w:rsidR="00B3326C" w:rsidRPr="00621B83">
        <w:t>и</w:t>
      </w:r>
      <w:r w:rsidR="00DC1442" w:rsidRPr="00621B83">
        <w:t xml:space="preserve"> по </w:t>
      </w:r>
      <w:r w:rsidR="006E096B" w:rsidRPr="00621B83">
        <w:t xml:space="preserve">средно претеглена </w:t>
      </w:r>
      <w:r w:rsidR="0011699C" w:rsidRPr="00621B83">
        <w:t xml:space="preserve">крайна </w:t>
      </w:r>
      <w:r w:rsidR="00DC1442" w:rsidRPr="00621B83">
        <w:t>цена</w:t>
      </w:r>
      <w:r w:rsidR="006E096B" w:rsidRPr="00621B83">
        <w:t xml:space="preserve"> </w:t>
      </w:r>
      <w:r w:rsidR="00622696" w:rsidRPr="00621B83">
        <w:t>на електрическата енергия</w:t>
      </w:r>
      <w:r w:rsidR="00B3326C" w:rsidRPr="00621B83">
        <w:t xml:space="preserve">. Средно претеглената крайна цена на електрическата енергия се определя </w:t>
      </w:r>
      <w:r w:rsidR="00ED32A1" w:rsidRPr="00621B83">
        <w:t>на база разходи за</w:t>
      </w:r>
      <w:r w:rsidR="00622696" w:rsidRPr="00621B83">
        <w:t xml:space="preserve"> електрическата енергия, мрежови услуги</w:t>
      </w:r>
      <w:r w:rsidR="00ED32A1" w:rsidRPr="00621B83">
        <w:t>,</w:t>
      </w:r>
      <w:r w:rsidR="00AD3CFA" w:rsidRPr="00621B83">
        <w:t xml:space="preserve"> балансиране, </w:t>
      </w:r>
      <w:r w:rsidR="00ED32A1" w:rsidRPr="00621B83">
        <w:t>задължение към обществото, акцизи и ДДС</w:t>
      </w:r>
      <w:r w:rsidR="00C11C82" w:rsidRPr="00621B83">
        <w:t xml:space="preserve"> </w:t>
      </w:r>
      <w:r w:rsidR="00B3326C" w:rsidRPr="00621B83">
        <w:t>за</w:t>
      </w:r>
      <w:r w:rsidR="00C11C82" w:rsidRPr="00621B83">
        <w:t xml:space="preserve"> </w:t>
      </w:r>
      <w:r w:rsidR="006E096B" w:rsidRPr="00621B83">
        <w:t xml:space="preserve">предходен </w:t>
      </w:r>
      <w:r w:rsidR="001D6E10" w:rsidRPr="00621B83">
        <w:t>едногодишен период</w:t>
      </w:r>
      <w:r w:rsidR="00066D72" w:rsidRPr="00621B83">
        <w:t xml:space="preserve"> до датата на извършване/актуализация на обследването, за който са налице данни за закупена енергия</w:t>
      </w:r>
      <w:r w:rsidR="00DC1442" w:rsidRPr="00621B83">
        <w:t xml:space="preserve"> </w:t>
      </w:r>
      <w:r w:rsidR="003961C3" w:rsidRPr="00621B83">
        <w:t>за съответната система за външно изкуствено осветление.</w:t>
      </w:r>
      <w:r w:rsidR="006E6B2A" w:rsidRPr="00621B83">
        <w:t xml:space="preserve"> </w:t>
      </w:r>
      <w:r w:rsidR="001D6E10" w:rsidRPr="00621B83">
        <w:t>Средно претеглената ц</w:t>
      </w:r>
      <w:r w:rsidR="006E6B2A" w:rsidRPr="00621B83">
        <w:t xml:space="preserve">ена е съгласно </w:t>
      </w:r>
      <w:r w:rsidR="00066D72" w:rsidRPr="00621B83">
        <w:t xml:space="preserve">сключени сделки </w:t>
      </w:r>
      <w:r w:rsidR="006E6B2A" w:rsidRPr="00621B83">
        <w:t>за покупка</w:t>
      </w:r>
      <w:r w:rsidR="00626AD6" w:rsidRPr="00621B83">
        <w:t xml:space="preserve"> на електрическа енергия </w:t>
      </w:r>
      <w:r w:rsidR="00066D72" w:rsidRPr="00621B83">
        <w:t>и за съпътстващи услуги.</w:t>
      </w:r>
      <w:r w:rsidR="006E096B" w:rsidRPr="00621B83">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70744D" w:rsidRPr="00983251" w14:paraId="00731F4C"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4DF657E6" w14:textId="77777777" w:rsidR="0070744D" w:rsidRPr="00621B83" w:rsidRDefault="0070744D" w:rsidP="0075505C">
            <w:pPr>
              <w:rPr>
                <w:b/>
              </w:rPr>
            </w:pPr>
            <w:r w:rsidRPr="00621B83">
              <w:rPr>
                <w:b/>
              </w:rPr>
              <w:t>ВАЖНО!</w:t>
            </w:r>
          </w:p>
          <w:p w14:paraId="7E96F648" w14:textId="77777777" w:rsidR="0070744D" w:rsidRPr="00621B83" w:rsidRDefault="0070744D" w:rsidP="004D6DCC">
            <w:pPr>
              <w:rPr>
                <w:b/>
                <w:color w:val="000000"/>
              </w:rPr>
            </w:pPr>
            <w:r w:rsidRPr="00621B83">
              <w:rPr>
                <w:b/>
                <w:color w:val="000000"/>
              </w:rPr>
              <w:t xml:space="preserve">В случай че </w:t>
            </w:r>
            <w:r w:rsidR="00150F4D" w:rsidRPr="00621B83">
              <w:rPr>
                <w:b/>
                <w:color w:val="000000"/>
              </w:rPr>
              <w:t xml:space="preserve">Кандидатът </w:t>
            </w:r>
            <w:r w:rsidRPr="00621B83">
              <w:rPr>
                <w:b/>
                <w:color w:val="000000"/>
              </w:rPr>
              <w:t xml:space="preserve">участва с повече от една система за външно изкуствено осветление, индикатори от 1 до 3 се определят за всяка една система. Общата стойност на всеки индикатор за проектното предложение е сума от индикаторите на всяка система. </w:t>
            </w:r>
          </w:p>
        </w:tc>
      </w:tr>
    </w:tbl>
    <w:p w14:paraId="5B8452E4" w14:textId="77777777" w:rsidR="0070744D" w:rsidRPr="00621B83" w:rsidRDefault="0070744D" w:rsidP="00384086"/>
    <w:p w14:paraId="7E6CDC14" w14:textId="77777777" w:rsidR="00D658A7" w:rsidRPr="00621B83" w:rsidRDefault="0063220F" w:rsidP="009D650A">
      <w:pPr>
        <w:numPr>
          <w:ilvl w:val="0"/>
          <w:numId w:val="35"/>
        </w:numPr>
        <w:rPr>
          <w:i/>
        </w:rPr>
      </w:pPr>
      <w:r w:rsidRPr="00621B83">
        <w:rPr>
          <w:b/>
          <w:i/>
        </w:rPr>
        <w:t xml:space="preserve">Индикатор 4: </w:t>
      </w:r>
      <w:r w:rsidR="009D650A" w:rsidRPr="00621B83">
        <w:rPr>
          <w:i/>
        </w:rPr>
        <w:t xml:space="preserve">Брой хора, които се възползват от </w:t>
      </w:r>
      <w:r w:rsidR="00595AB0" w:rsidRPr="00621B83">
        <w:rPr>
          <w:i/>
        </w:rPr>
        <w:t>подобрената</w:t>
      </w:r>
      <w:r w:rsidR="009D650A" w:rsidRPr="00621B83">
        <w:rPr>
          <w:i/>
        </w:rPr>
        <w:t xml:space="preserve"> енергийна ефективност (разпределени по пол)</w:t>
      </w:r>
      <w:r w:rsidR="0025368C" w:rsidRPr="00621B83">
        <w:rPr>
          <w:i/>
        </w:rPr>
        <w:t xml:space="preserve"> – 1 500 бр.</w:t>
      </w:r>
      <w:r w:rsidR="00384086" w:rsidRPr="00621B83">
        <w:rPr>
          <w:i/>
        </w:rPr>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926DA" w:rsidRPr="00983251" w14:paraId="48CF2F28"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143DC1C" w14:textId="77777777" w:rsidR="003926DA" w:rsidRPr="00621B83" w:rsidRDefault="003926DA" w:rsidP="00152388">
            <w:pPr>
              <w:rPr>
                <w:b/>
              </w:rPr>
            </w:pPr>
            <w:r w:rsidRPr="00621B83">
              <w:rPr>
                <w:b/>
              </w:rPr>
              <w:t>ВАЖНО!</w:t>
            </w:r>
          </w:p>
          <w:p w14:paraId="135FE6EE" w14:textId="77777777" w:rsidR="003926DA" w:rsidRPr="00621B83" w:rsidRDefault="003926DA" w:rsidP="00FD2648">
            <w:pPr>
              <w:rPr>
                <w:b/>
                <w:color w:val="000000"/>
              </w:rPr>
            </w:pPr>
            <w:r w:rsidRPr="00621B83">
              <w:rPr>
                <w:b/>
                <w:color w:val="000000"/>
              </w:rPr>
              <w:t xml:space="preserve">При подаване на проектно предложение по тази процедура всеки </w:t>
            </w:r>
            <w:r w:rsidR="00150F4D" w:rsidRPr="00621B83">
              <w:rPr>
                <w:b/>
                <w:color w:val="000000"/>
              </w:rPr>
              <w:t xml:space="preserve">Кандидат </w:t>
            </w:r>
            <w:r w:rsidRPr="00621B83">
              <w:rPr>
                <w:b/>
                <w:color w:val="000000"/>
              </w:rPr>
              <w:t xml:space="preserve">трябва да представи във </w:t>
            </w:r>
            <w:r w:rsidR="00150F4D" w:rsidRPr="00621B83">
              <w:rPr>
                <w:b/>
                <w:color w:val="000000"/>
              </w:rPr>
              <w:t xml:space="preserve">Формуляра </w:t>
            </w:r>
            <w:r w:rsidRPr="00621B83">
              <w:rPr>
                <w:b/>
                <w:color w:val="000000"/>
              </w:rPr>
              <w:t xml:space="preserve">за кандидатстване </w:t>
            </w:r>
            <w:r w:rsidR="00FD2648" w:rsidRPr="00621B83">
              <w:rPr>
                <w:b/>
                <w:color w:val="000000"/>
              </w:rPr>
              <w:t>стойностите по индикатори от 1 до 4 за предлагания от него проект.</w:t>
            </w:r>
            <w:r w:rsidRPr="00621B83">
              <w:rPr>
                <w:b/>
                <w:color w:val="000000"/>
              </w:rPr>
              <w:t xml:space="preserve"> </w:t>
            </w:r>
          </w:p>
          <w:p w14:paraId="612AFA3F" w14:textId="77777777" w:rsidR="00847271" w:rsidRPr="00621B83" w:rsidRDefault="00847271" w:rsidP="00847271">
            <w:pPr>
              <w:rPr>
                <w:b/>
              </w:rPr>
            </w:pPr>
            <w:r w:rsidRPr="00621B83">
              <w:rPr>
                <w:b/>
              </w:rPr>
              <w:t>При попълване на информацията в раздел Индикатори в ИСУН 2020 за всички индикатори като базова стойност се въвежда „0“. Когато е приложимо, целевата стойност се определя като разлика между очакваното състояние след изпълнение на енергоспестяващите мерки и актуалното състояние преди тяхното изпълнение.</w:t>
            </w:r>
          </w:p>
        </w:tc>
      </w:tr>
    </w:tbl>
    <w:p w14:paraId="4F50FD6D" w14:textId="77777777" w:rsidR="003926DA" w:rsidRPr="00621B83" w:rsidRDefault="003926DA" w:rsidP="003926DA">
      <w:pPr>
        <w:ind w:left="720"/>
        <w:rPr>
          <w:b/>
          <w:i/>
          <w:color w:val="C45911"/>
        </w:rPr>
      </w:pPr>
    </w:p>
    <w:p w14:paraId="71172E03" w14:textId="77777777" w:rsidR="00D658A7" w:rsidRPr="00621B83" w:rsidRDefault="00D658A7" w:rsidP="000D6180">
      <w:pPr>
        <w:rPr>
          <w:b/>
          <w:i/>
          <w:color w:val="000000"/>
        </w:rPr>
      </w:pPr>
      <w:r w:rsidRPr="00621B83">
        <w:rPr>
          <w:b/>
          <w:i/>
          <w:color w:val="000000"/>
        </w:rPr>
        <w:t xml:space="preserve">Програмният оператор ще следи за постигане на </w:t>
      </w:r>
      <w:r w:rsidR="00437B17" w:rsidRPr="00621B83">
        <w:rPr>
          <w:b/>
          <w:i/>
          <w:color w:val="000000"/>
        </w:rPr>
        <w:t xml:space="preserve">следните </w:t>
      </w:r>
      <w:r w:rsidR="009F2323" w:rsidRPr="00621B83">
        <w:rPr>
          <w:b/>
          <w:i/>
          <w:color w:val="000000"/>
        </w:rPr>
        <w:t>индикатор</w:t>
      </w:r>
      <w:r w:rsidR="00437B17" w:rsidRPr="00621B83">
        <w:rPr>
          <w:b/>
          <w:i/>
          <w:color w:val="000000"/>
        </w:rPr>
        <w:t>и</w:t>
      </w:r>
      <w:r w:rsidRPr="00621B83">
        <w:rPr>
          <w:b/>
          <w:i/>
          <w:color w:val="000000"/>
        </w:rPr>
        <w:t>:</w:t>
      </w:r>
    </w:p>
    <w:p w14:paraId="214D2D1E" w14:textId="77777777" w:rsidR="00293A8B" w:rsidRPr="00621B83" w:rsidRDefault="00933FAC" w:rsidP="00384086">
      <w:pPr>
        <w:numPr>
          <w:ilvl w:val="0"/>
          <w:numId w:val="35"/>
        </w:numPr>
        <w:rPr>
          <w:i/>
        </w:rPr>
      </w:pPr>
      <w:r w:rsidRPr="00621B83">
        <w:rPr>
          <w:i/>
        </w:rPr>
        <w:t>Брой общини с подобрена инфраструктура</w:t>
      </w:r>
      <w:r w:rsidR="006C46D3" w:rsidRPr="00621B83">
        <w:rPr>
          <w:i/>
        </w:rPr>
        <w:t>;</w:t>
      </w:r>
    </w:p>
    <w:p w14:paraId="28C88D79" w14:textId="77777777" w:rsidR="00437B17" w:rsidRPr="00621B83" w:rsidRDefault="00437B17" w:rsidP="00384086">
      <w:pPr>
        <w:numPr>
          <w:ilvl w:val="0"/>
          <w:numId w:val="35"/>
        </w:numPr>
        <w:rPr>
          <w:i/>
        </w:rPr>
      </w:pPr>
      <w:r w:rsidRPr="00621B83">
        <w:rPr>
          <w:i/>
        </w:rPr>
        <w:t xml:space="preserve">Брой проекти, включващи сътрудничество с партньори от </w:t>
      </w:r>
      <w:r w:rsidR="00150F4D" w:rsidRPr="00621B83">
        <w:rPr>
          <w:i/>
        </w:rPr>
        <w:t>страните</w:t>
      </w:r>
      <w:r w:rsidRPr="00621B83">
        <w:rPr>
          <w:i/>
        </w:rPr>
        <w:t xml:space="preserve">-донори (разпределени по </w:t>
      </w:r>
      <w:r w:rsidR="00150F4D" w:rsidRPr="00621B83">
        <w:rPr>
          <w:i/>
        </w:rPr>
        <w:t>страна</w:t>
      </w:r>
      <w:r w:rsidRPr="00621B83">
        <w:rPr>
          <w:i/>
        </w:rPr>
        <w:t>- донор)</w:t>
      </w:r>
      <w:r w:rsidR="006C46D3" w:rsidRPr="00621B83">
        <w:rPr>
          <w:i/>
        </w:rPr>
        <w:t>.</w:t>
      </w:r>
    </w:p>
    <w:p w14:paraId="30E82FED" w14:textId="77777777" w:rsidR="00293A8B" w:rsidRPr="00621B83" w:rsidRDefault="00293A8B" w:rsidP="00621B83">
      <w:pPr>
        <w:keepNext/>
        <w:keepLines/>
        <w:numPr>
          <w:ilvl w:val="0"/>
          <w:numId w:val="1"/>
        </w:numPr>
        <w:tabs>
          <w:tab w:val="left" w:pos="426"/>
        </w:tabs>
        <w:spacing w:before="480" w:after="200" w:line="276" w:lineRule="auto"/>
        <w:outlineLvl w:val="0"/>
        <w:rPr>
          <w:b/>
          <w:color w:val="C45911"/>
        </w:rPr>
      </w:pPr>
      <w:bookmarkStart w:id="12" w:name="_Toc24983826"/>
      <w:r w:rsidRPr="00621B83">
        <w:rPr>
          <w:b/>
          <w:color w:val="C45911"/>
        </w:rPr>
        <w:lastRenderedPageBreak/>
        <w:t>ЦЕЛЕВИ ГРУПИ:</w:t>
      </w:r>
      <w:bookmarkEnd w:id="12"/>
    </w:p>
    <w:p w14:paraId="56837030" w14:textId="77777777" w:rsidR="00BC44CB" w:rsidRPr="00621B83" w:rsidDel="00BC44CB" w:rsidRDefault="009A3B20" w:rsidP="00BC44CB">
      <w:r w:rsidRPr="00621B83">
        <w:t xml:space="preserve">Основната целева група </w:t>
      </w:r>
      <w:r w:rsidR="00BC44CB" w:rsidRPr="00621B83">
        <w:t xml:space="preserve">на настоящата процедура са гражданите на територията на съответната община – бенефициент. </w:t>
      </w:r>
    </w:p>
    <w:p w14:paraId="71B94667" w14:textId="77777777" w:rsidR="000D6180" w:rsidRPr="00621B83" w:rsidRDefault="00D9068C" w:rsidP="0080251B">
      <w:pPr>
        <w:pStyle w:val="Heading1"/>
      </w:pPr>
      <w:bookmarkStart w:id="13" w:name="_Toc22042577"/>
      <w:bookmarkStart w:id="14" w:name="_Toc22110856"/>
      <w:bookmarkStart w:id="15" w:name="_Toc24983827"/>
      <w:bookmarkEnd w:id="13"/>
      <w:bookmarkEnd w:id="14"/>
      <w:r w:rsidRPr="00621B83">
        <w:t>РАЗМЕР НА БЕЗВЪЗМЕЗДНАТА ПОМОЩ И ПРОЦЕНТ НА СЪФИНАНСИРАНЕ</w:t>
      </w:r>
      <w:bookmarkEnd w:id="15"/>
    </w:p>
    <w:p w14:paraId="6BCECE42" w14:textId="77777777" w:rsidR="000D6180" w:rsidRPr="00621B83" w:rsidRDefault="000D6180" w:rsidP="000D6180">
      <w:pPr>
        <w:rPr>
          <w:b/>
          <w:i/>
          <w:color w:val="000000"/>
          <w:u w:val="single"/>
        </w:rPr>
      </w:pPr>
      <w:r w:rsidRPr="00621B83">
        <w:rPr>
          <w:b/>
          <w:i/>
          <w:color w:val="000000"/>
          <w:u w:val="single"/>
        </w:rPr>
        <w:t xml:space="preserve">Общ бюджет на </w:t>
      </w:r>
      <w:r w:rsidR="001A08D2" w:rsidRPr="00621B83">
        <w:rPr>
          <w:b/>
          <w:i/>
          <w:color w:val="000000"/>
          <w:u w:val="single"/>
        </w:rPr>
        <w:t>процедурата за подбор на проекти</w:t>
      </w:r>
    </w:p>
    <w:tbl>
      <w:tblPr>
        <w:tblW w:w="0" w:type="auto"/>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59"/>
        <w:gridCol w:w="2835"/>
        <w:gridCol w:w="2976"/>
      </w:tblGrid>
      <w:tr w:rsidR="00B232AA" w:rsidRPr="00983251" w14:paraId="70D7AA07" w14:textId="77777777" w:rsidTr="007404A7">
        <w:trPr>
          <w:trHeight w:val="405"/>
        </w:trPr>
        <w:tc>
          <w:tcPr>
            <w:tcW w:w="3659" w:type="dxa"/>
            <w:vAlign w:val="center"/>
          </w:tcPr>
          <w:p w14:paraId="77CBA918" w14:textId="77777777" w:rsidR="00B232AA" w:rsidRPr="00621B83" w:rsidRDefault="00EE3575" w:rsidP="006D76CD">
            <w:pPr>
              <w:jc w:val="center"/>
              <w:rPr>
                <w:b/>
                <w:i/>
                <w:color w:val="000000"/>
              </w:rPr>
            </w:pPr>
            <w:r w:rsidRPr="00621B83">
              <w:rPr>
                <w:b/>
                <w:i/>
                <w:color w:val="000000"/>
              </w:rPr>
              <w:t>Общ р</w:t>
            </w:r>
            <w:r w:rsidR="00437758" w:rsidRPr="00621B83">
              <w:rPr>
                <w:b/>
                <w:i/>
                <w:color w:val="000000"/>
              </w:rPr>
              <w:t xml:space="preserve">азмер на </w:t>
            </w:r>
            <w:r w:rsidR="006D76CD" w:rsidRPr="00621B83">
              <w:rPr>
                <w:b/>
                <w:i/>
                <w:color w:val="000000"/>
              </w:rPr>
              <w:t>БФП</w:t>
            </w:r>
          </w:p>
        </w:tc>
        <w:tc>
          <w:tcPr>
            <w:tcW w:w="2835" w:type="dxa"/>
          </w:tcPr>
          <w:p w14:paraId="5B22E5F1" w14:textId="77777777" w:rsidR="00B232AA" w:rsidRPr="00621B83" w:rsidRDefault="00437758" w:rsidP="001A08D2">
            <w:pPr>
              <w:jc w:val="center"/>
              <w:rPr>
                <w:b/>
                <w:i/>
                <w:color w:val="000000"/>
              </w:rPr>
            </w:pPr>
            <w:r w:rsidRPr="00621B83">
              <w:rPr>
                <w:b/>
                <w:i/>
                <w:color w:val="000000"/>
              </w:rPr>
              <w:t>Принос от страна на донора – 85</w:t>
            </w:r>
            <w:r w:rsidR="008044DC" w:rsidRPr="00621B83">
              <w:rPr>
                <w:b/>
                <w:i/>
                <w:color w:val="000000"/>
              </w:rPr>
              <w:t xml:space="preserve"> </w:t>
            </w:r>
            <w:r w:rsidR="00B232AA" w:rsidRPr="00621B83">
              <w:rPr>
                <w:b/>
                <w:i/>
                <w:color w:val="000000"/>
              </w:rPr>
              <w:t>%</w:t>
            </w:r>
          </w:p>
        </w:tc>
        <w:tc>
          <w:tcPr>
            <w:tcW w:w="2976" w:type="dxa"/>
          </w:tcPr>
          <w:p w14:paraId="64DC41DD" w14:textId="77777777" w:rsidR="00B232AA" w:rsidRPr="00621B83" w:rsidRDefault="000D6180" w:rsidP="00844A8C">
            <w:pPr>
              <w:jc w:val="center"/>
              <w:rPr>
                <w:b/>
                <w:i/>
                <w:color w:val="000000"/>
              </w:rPr>
            </w:pPr>
            <w:r w:rsidRPr="00621B83">
              <w:rPr>
                <w:b/>
                <w:i/>
                <w:color w:val="000000"/>
              </w:rPr>
              <w:t>Национално съфинансиране</w:t>
            </w:r>
            <w:r w:rsidR="00437758" w:rsidRPr="00621B83">
              <w:rPr>
                <w:b/>
                <w:i/>
                <w:color w:val="000000"/>
              </w:rPr>
              <w:t xml:space="preserve"> –</w:t>
            </w:r>
            <w:r w:rsidR="00B232AA" w:rsidRPr="00621B83">
              <w:rPr>
                <w:b/>
                <w:i/>
                <w:color w:val="000000"/>
              </w:rPr>
              <w:t xml:space="preserve"> 15</w:t>
            </w:r>
            <w:r w:rsidR="00B11F39" w:rsidRPr="00621B83">
              <w:rPr>
                <w:b/>
                <w:i/>
                <w:color w:val="000000"/>
                <w:lang w:val="en-US"/>
              </w:rPr>
              <w:t xml:space="preserve"> </w:t>
            </w:r>
            <w:r w:rsidR="00B232AA" w:rsidRPr="00621B83">
              <w:rPr>
                <w:b/>
                <w:i/>
                <w:color w:val="000000"/>
              </w:rPr>
              <w:t>%</w:t>
            </w:r>
          </w:p>
        </w:tc>
      </w:tr>
      <w:tr w:rsidR="00B232AA" w:rsidRPr="00983251" w14:paraId="58E60FA9" w14:textId="77777777" w:rsidTr="00A723E9">
        <w:trPr>
          <w:trHeight w:val="465"/>
        </w:trPr>
        <w:tc>
          <w:tcPr>
            <w:tcW w:w="3659" w:type="dxa"/>
            <w:vAlign w:val="center"/>
          </w:tcPr>
          <w:p w14:paraId="1CA2BA38" w14:textId="77777777" w:rsidR="00B232AA" w:rsidRPr="00621B83" w:rsidRDefault="00517718" w:rsidP="00621B83">
            <w:pPr>
              <w:rPr>
                <w:b/>
              </w:rPr>
            </w:pPr>
            <w:r w:rsidRPr="00621B83">
              <w:rPr>
                <w:b/>
              </w:rPr>
              <w:t>8 200 000</w:t>
            </w:r>
            <w:r w:rsidR="006252FB" w:rsidRPr="00621B83">
              <w:rPr>
                <w:b/>
              </w:rPr>
              <w:t xml:space="preserve"> евро</w:t>
            </w:r>
          </w:p>
        </w:tc>
        <w:tc>
          <w:tcPr>
            <w:tcW w:w="2835" w:type="dxa"/>
            <w:vAlign w:val="center"/>
          </w:tcPr>
          <w:p w14:paraId="29CEAA92" w14:textId="77777777" w:rsidR="00B232AA" w:rsidRPr="00621B83" w:rsidRDefault="00517718" w:rsidP="00621B83">
            <w:pPr>
              <w:rPr>
                <w:b/>
              </w:rPr>
            </w:pPr>
            <w:r w:rsidRPr="00621B83">
              <w:rPr>
                <w:b/>
              </w:rPr>
              <w:t>6 970 000</w:t>
            </w:r>
            <w:r w:rsidR="00A50DCB" w:rsidRPr="00621B83">
              <w:rPr>
                <w:b/>
              </w:rPr>
              <w:t xml:space="preserve"> </w:t>
            </w:r>
            <w:r w:rsidR="00437758" w:rsidRPr="00621B83">
              <w:rPr>
                <w:b/>
              </w:rPr>
              <w:t>евро</w:t>
            </w:r>
          </w:p>
        </w:tc>
        <w:tc>
          <w:tcPr>
            <w:tcW w:w="2976" w:type="dxa"/>
            <w:vAlign w:val="center"/>
          </w:tcPr>
          <w:p w14:paraId="78726DAA" w14:textId="77777777" w:rsidR="00B232AA" w:rsidRPr="00621B83" w:rsidRDefault="00517718" w:rsidP="00621B83">
            <w:pPr>
              <w:rPr>
                <w:b/>
              </w:rPr>
            </w:pPr>
            <w:r w:rsidRPr="00621B83">
              <w:rPr>
                <w:b/>
              </w:rPr>
              <w:t>1 230 000</w:t>
            </w:r>
            <w:r w:rsidR="00A50DCB" w:rsidRPr="00621B83">
              <w:rPr>
                <w:b/>
              </w:rPr>
              <w:t xml:space="preserve"> </w:t>
            </w:r>
            <w:r w:rsidR="00437758" w:rsidRPr="00621B83">
              <w:rPr>
                <w:b/>
              </w:rPr>
              <w:t>евро</w:t>
            </w:r>
          </w:p>
        </w:tc>
      </w:tr>
      <w:tr w:rsidR="00EE3575" w:rsidRPr="00983251" w14:paraId="0F320F94" w14:textId="77777777" w:rsidTr="00A723E9">
        <w:trPr>
          <w:trHeight w:val="465"/>
        </w:trPr>
        <w:tc>
          <w:tcPr>
            <w:tcW w:w="3659" w:type="dxa"/>
            <w:vAlign w:val="center"/>
          </w:tcPr>
          <w:p w14:paraId="0CF3BECF" w14:textId="77777777" w:rsidR="00EE3575" w:rsidRPr="00621B83" w:rsidRDefault="00EE3575" w:rsidP="00621B83">
            <w:pPr>
              <w:rPr>
                <w:b/>
              </w:rPr>
            </w:pPr>
            <w:r w:rsidRPr="00621B83">
              <w:rPr>
                <w:b/>
              </w:rPr>
              <w:t>16 037 806 лева</w:t>
            </w:r>
          </w:p>
        </w:tc>
        <w:tc>
          <w:tcPr>
            <w:tcW w:w="2835" w:type="dxa"/>
            <w:vAlign w:val="center"/>
          </w:tcPr>
          <w:p w14:paraId="7DEBBAB3" w14:textId="77777777" w:rsidR="00EE3575" w:rsidRPr="00621B83" w:rsidRDefault="00EE3575" w:rsidP="00621B83">
            <w:pPr>
              <w:rPr>
                <w:b/>
              </w:rPr>
            </w:pPr>
            <w:r w:rsidRPr="00621B83">
              <w:rPr>
                <w:b/>
              </w:rPr>
              <w:t>13 632 135.10 лева</w:t>
            </w:r>
          </w:p>
        </w:tc>
        <w:tc>
          <w:tcPr>
            <w:tcW w:w="2976" w:type="dxa"/>
            <w:vAlign w:val="center"/>
          </w:tcPr>
          <w:p w14:paraId="57666B5F" w14:textId="77777777" w:rsidR="00EE3575" w:rsidRPr="00621B83" w:rsidRDefault="00EE3575" w:rsidP="00621B83">
            <w:pPr>
              <w:rPr>
                <w:b/>
              </w:rPr>
            </w:pPr>
            <w:r w:rsidRPr="00621B83">
              <w:rPr>
                <w:b/>
              </w:rPr>
              <w:t>2 405 670.90 лева</w:t>
            </w:r>
          </w:p>
        </w:tc>
      </w:tr>
    </w:tbl>
    <w:p w14:paraId="0E8C621B" w14:textId="77777777" w:rsidR="00F84B55" w:rsidRPr="00621B83" w:rsidRDefault="00F84B55" w:rsidP="00B232AA">
      <w:pPr>
        <w:rPr>
          <w:b/>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BA3670" w:rsidRPr="00983251" w14:paraId="79FB4652"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A9C6845" w14:textId="77777777" w:rsidR="00BA3670" w:rsidRPr="00621B83" w:rsidRDefault="00BA3670" w:rsidP="0014755F">
            <w:pPr>
              <w:rPr>
                <w:b/>
              </w:rPr>
            </w:pPr>
            <w:r w:rsidRPr="00621B83">
              <w:rPr>
                <w:b/>
              </w:rPr>
              <w:t>ВАЖНО!</w:t>
            </w:r>
          </w:p>
          <w:p w14:paraId="1D58FD54" w14:textId="77777777" w:rsidR="00BA3670" w:rsidRPr="00621B83" w:rsidRDefault="00BA3670" w:rsidP="005E2AB5">
            <w:pPr>
              <w:rPr>
                <w:b/>
              </w:rPr>
            </w:pPr>
            <w:r w:rsidRPr="00621B83">
              <w:rPr>
                <w:b/>
              </w:rPr>
              <w:t>Програмният оператор си запазва правото да не разпредели посочената по-горе сума в случай на недостатъчен брой качествени проектни предложения, отговарящи на предварително зададените критерии.</w:t>
            </w:r>
          </w:p>
        </w:tc>
      </w:tr>
    </w:tbl>
    <w:p w14:paraId="37C5AA94" w14:textId="77777777" w:rsidR="00BA3670" w:rsidRPr="00621B83" w:rsidRDefault="00BA3670" w:rsidP="000D6180">
      <w:pPr>
        <w:rPr>
          <w:b/>
          <w:i/>
          <w:color w:val="C45911"/>
          <w:u w:val="single"/>
        </w:rPr>
      </w:pPr>
    </w:p>
    <w:p w14:paraId="352DD418" w14:textId="77777777" w:rsidR="000D6180" w:rsidRPr="00621B83" w:rsidRDefault="00805B06" w:rsidP="000D6180">
      <w:pPr>
        <w:rPr>
          <w:b/>
          <w:i/>
          <w:color w:val="C45911"/>
          <w:u w:val="single"/>
        </w:rPr>
      </w:pPr>
      <w:r w:rsidRPr="00621B83">
        <w:rPr>
          <w:b/>
          <w:i/>
          <w:color w:val="C45911"/>
          <w:u w:val="single"/>
        </w:rPr>
        <w:t>Р</w:t>
      </w:r>
      <w:r w:rsidR="000D6180" w:rsidRPr="00621B83">
        <w:rPr>
          <w:b/>
          <w:i/>
          <w:color w:val="C45911"/>
          <w:u w:val="single"/>
        </w:rPr>
        <w:t xml:space="preserve">азмер на </w:t>
      </w:r>
      <w:r w:rsidR="00D85F18" w:rsidRPr="00621B83">
        <w:rPr>
          <w:b/>
          <w:i/>
          <w:color w:val="C45911"/>
          <w:u w:val="single"/>
        </w:rPr>
        <w:t>БФП</w:t>
      </w:r>
      <w:r w:rsidR="00AE7048" w:rsidRPr="00621B83">
        <w:rPr>
          <w:b/>
          <w:i/>
          <w:color w:val="C45911"/>
          <w:u w:val="single"/>
        </w:rPr>
        <w:t xml:space="preserve"> по проект</w:t>
      </w:r>
    </w:p>
    <w:p w14:paraId="3A2E7EE0" w14:textId="77777777" w:rsidR="000D6180" w:rsidRPr="00621B83" w:rsidRDefault="005404D5" w:rsidP="000D6180">
      <w:r w:rsidRPr="00621B83">
        <w:t xml:space="preserve">Минималният и максималният размер на </w:t>
      </w:r>
      <w:r w:rsidR="00D85F18" w:rsidRPr="00621B83">
        <w:t>БФП</w:t>
      </w:r>
      <w:r w:rsidRPr="00621B83">
        <w:t xml:space="preserve"> </w:t>
      </w:r>
      <w:r w:rsidR="004951E3" w:rsidRPr="00621B83">
        <w:t xml:space="preserve">за проект </w:t>
      </w:r>
      <w:r w:rsidRPr="00621B83">
        <w:t xml:space="preserve">по </w:t>
      </w:r>
      <w:r w:rsidR="004951E3" w:rsidRPr="00621B83">
        <w:t xml:space="preserve">тази </w:t>
      </w:r>
      <w:r w:rsidRPr="00621B83">
        <w:t>процедура са както следва:</w:t>
      </w:r>
    </w:p>
    <w:p w14:paraId="24C62F45" w14:textId="77777777" w:rsidR="000D6180" w:rsidRPr="00621B83" w:rsidRDefault="000D6180" w:rsidP="0049113B">
      <w:pPr>
        <w:numPr>
          <w:ilvl w:val="0"/>
          <w:numId w:val="10"/>
        </w:numPr>
        <w:ind w:left="709" w:hanging="349"/>
      </w:pPr>
      <w:r w:rsidRPr="00621B83">
        <w:t xml:space="preserve">Минимален размер на индивидуалната </w:t>
      </w:r>
      <w:r w:rsidR="003A6AD8" w:rsidRPr="00621B83">
        <w:t>безвъзмездна финансова помощ</w:t>
      </w:r>
      <w:r w:rsidRPr="00621B83">
        <w:t xml:space="preserve">: </w:t>
      </w:r>
      <w:r w:rsidR="00517718" w:rsidRPr="00621B83">
        <w:t>200 000</w:t>
      </w:r>
      <w:r w:rsidR="00A50DCB" w:rsidRPr="00621B83">
        <w:t xml:space="preserve"> </w:t>
      </w:r>
      <w:r w:rsidRPr="00621B83">
        <w:t>евро</w:t>
      </w:r>
      <w:r w:rsidR="000C3492" w:rsidRPr="00621B83">
        <w:t xml:space="preserve"> (391 166 лева)</w:t>
      </w:r>
      <w:r w:rsidRPr="00621B83">
        <w:t>;</w:t>
      </w:r>
    </w:p>
    <w:p w14:paraId="62102003" w14:textId="77777777" w:rsidR="000D6180" w:rsidRPr="00621B83" w:rsidRDefault="000D6180" w:rsidP="0049113B">
      <w:pPr>
        <w:numPr>
          <w:ilvl w:val="0"/>
          <w:numId w:val="10"/>
        </w:numPr>
        <w:ind w:left="709" w:hanging="349"/>
      </w:pPr>
      <w:r w:rsidRPr="00621B83">
        <w:t xml:space="preserve">Максимален размер на индивидуалната </w:t>
      </w:r>
      <w:r w:rsidR="003A6AD8" w:rsidRPr="00621B83">
        <w:t>безвъзмездна финансова помощ</w:t>
      </w:r>
      <w:r w:rsidR="00773434" w:rsidRPr="00621B83">
        <w:t xml:space="preserve">: </w:t>
      </w:r>
      <w:r w:rsidR="00517718" w:rsidRPr="00621B83">
        <w:t>600 000</w:t>
      </w:r>
      <w:r w:rsidR="00A50DCB" w:rsidRPr="00621B83">
        <w:t xml:space="preserve"> </w:t>
      </w:r>
      <w:r w:rsidR="00FD5AAA" w:rsidRPr="00621B83">
        <w:t>евро</w:t>
      </w:r>
      <w:r w:rsidR="000C3492" w:rsidRPr="00621B83">
        <w:t xml:space="preserve"> (1 173 498 лева)</w:t>
      </w:r>
      <w:r w:rsidR="00FD5AAA"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0D6180" w:rsidRPr="00983251" w14:paraId="30A2029A"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1FA90AE7" w14:textId="77777777" w:rsidR="000D6180" w:rsidRPr="00621B83" w:rsidRDefault="00E64A67" w:rsidP="000D6180">
            <w:pPr>
              <w:rPr>
                <w:b/>
              </w:rPr>
            </w:pPr>
            <w:r w:rsidRPr="00621B83">
              <w:rPr>
                <w:b/>
              </w:rPr>
              <w:t>ВАЖНО</w:t>
            </w:r>
            <w:r w:rsidR="000D6180" w:rsidRPr="00621B83">
              <w:rPr>
                <w:b/>
              </w:rPr>
              <w:t>!</w:t>
            </w:r>
          </w:p>
          <w:p w14:paraId="33140467" w14:textId="691AA8B9" w:rsidR="00FD5AAA" w:rsidRPr="00621B83" w:rsidRDefault="00FD5AAA" w:rsidP="00FD5AAA">
            <w:pPr>
              <w:rPr>
                <w:b/>
              </w:rPr>
            </w:pPr>
            <w:r w:rsidRPr="00621B83">
              <w:rPr>
                <w:b/>
              </w:rPr>
              <w:t xml:space="preserve">Безвъзмездната </w:t>
            </w:r>
            <w:r w:rsidR="00E64A67" w:rsidRPr="00621B83">
              <w:rPr>
                <w:b/>
              </w:rPr>
              <w:t>финансова помощ за</w:t>
            </w:r>
            <w:r w:rsidR="008453BD" w:rsidRPr="00621B83">
              <w:rPr>
                <w:b/>
              </w:rPr>
              <w:t xml:space="preserve"> проект</w:t>
            </w:r>
            <w:r w:rsidR="00E64A67" w:rsidRPr="00621B83">
              <w:rPr>
                <w:b/>
              </w:rPr>
              <w:t xml:space="preserve"> е </w:t>
            </w:r>
            <w:r w:rsidRPr="00621B83">
              <w:rPr>
                <w:b/>
              </w:rPr>
              <w:t xml:space="preserve">до </w:t>
            </w:r>
            <w:r w:rsidR="00517718" w:rsidRPr="00621B83">
              <w:rPr>
                <w:b/>
              </w:rPr>
              <w:t>100</w:t>
            </w:r>
            <w:r w:rsidR="00CD2749" w:rsidRPr="00621B83">
              <w:rPr>
                <w:b/>
              </w:rPr>
              <w:t xml:space="preserve"> </w:t>
            </w:r>
            <w:r w:rsidR="00E64A67" w:rsidRPr="00621B83">
              <w:rPr>
                <w:b/>
              </w:rPr>
              <w:t>%</w:t>
            </w:r>
            <w:r w:rsidR="008453BD" w:rsidRPr="00621B83">
              <w:rPr>
                <w:b/>
              </w:rPr>
              <w:t xml:space="preserve"> </w:t>
            </w:r>
            <w:r w:rsidRPr="00621B83">
              <w:rPr>
                <w:b/>
              </w:rPr>
              <w:t>от допустимите разходи</w:t>
            </w:r>
            <w:r w:rsidR="001A08D2" w:rsidRPr="00621B83">
              <w:rPr>
                <w:b/>
              </w:rPr>
              <w:t>.</w:t>
            </w:r>
            <w:r w:rsidRPr="00621B83">
              <w:t xml:space="preserve"> </w:t>
            </w:r>
            <w:r w:rsidRPr="00621B83">
              <w:rPr>
                <w:b/>
              </w:rPr>
              <w:t xml:space="preserve">Ако размерът на </w:t>
            </w:r>
            <w:r w:rsidR="004936FD" w:rsidRPr="00621B83">
              <w:rPr>
                <w:b/>
              </w:rPr>
              <w:t>БФП</w:t>
            </w:r>
            <w:r w:rsidRPr="00621B83">
              <w:rPr>
                <w:b/>
              </w:rPr>
              <w:t xml:space="preserve"> е по-нисък от </w:t>
            </w:r>
            <w:r w:rsidR="005404D5" w:rsidRPr="00621B83">
              <w:rPr>
                <w:b/>
              </w:rPr>
              <w:t>100</w:t>
            </w:r>
            <w:r w:rsidR="00DF3771" w:rsidRPr="00621B83">
              <w:rPr>
                <w:b/>
              </w:rPr>
              <w:t xml:space="preserve"> </w:t>
            </w:r>
            <w:r w:rsidRPr="00621B83">
              <w:rPr>
                <w:b/>
              </w:rPr>
              <w:t xml:space="preserve">%, останалите разходи по проекта трябва да бъдат </w:t>
            </w:r>
            <w:r w:rsidR="004951E3" w:rsidRPr="00621B83">
              <w:rPr>
                <w:b/>
              </w:rPr>
              <w:t>за сметка на</w:t>
            </w:r>
            <w:r w:rsidRPr="00621B83">
              <w:rPr>
                <w:b/>
              </w:rPr>
              <w:t xml:space="preserve"> </w:t>
            </w:r>
            <w:r w:rsidR="007053D7" w:rsidRPr="00621B83">
              <w:rPr>
                <w:b/>
              </w:rPr>
              <w:t>Кандидата</w:t>
            </w:r>
            <w:r w:rsidRPr="00621B83">
              <w:rPr>
                <w:b/>
              </w:rPr>
              <w:t>.</w:t>
            </w:r>
            <w:r w:rsidR="009C3B39">
              <w:t xml:space="preserve"> В случай на съфинансиране проектът </w:t>
            </w:r>
            <w:r w:rsidR="009C3B39" w:rsidRPr="0058723C">
              <w:t xml:space="preserve">трябва да бъде съфинансиран чрез собствени средства на </w:t>
            </w:r>
            <w:r w:rsidR="007505FF">
              <w:t>К</w:t>
            </w:r>
            <w:r w:rsidR="009C3B39" w:rsidRPr="0058723C">
              <w:t>андидата/</w:t>
            </w:r>
            <w:r w:rsidR="007505FF">
              <w:t>П</w:t>
            </w:r>
            <w:r w:rsidR="009C3B39" w:rsidRPr="0058723C">
              <w:t>артньора или със средства от външни източници, които средства изключват всякаква публична подкрепа</w:t>
            </w:r>
            <w:r w:rsidR="009C3B39">
              <w:t>.</w:t>
            </w:r>
          </w:p>
          <w:p w14:paraId="21F9BE02" w14:textId="77777777" w:rsidR="000D6180" w:rsidRPr="00621B83" w:rsidRDefault="00FD5AAA" w:rsidP="004D6DCC">
            <w:pPr>
              <w:rPr>
                <w:b/>
              </w:rPr>
            </w:pPr>
            <w:r w:rsidRPr="00621B83">
              <w:rPr>
                <w:b/>
              </w:rPr>
              <w:t xml:space="preserve">Когато </w:t>
            </w:r>
            <w:r w:rsidR="004D6DCC" w:rsidRPr="00621B83">
              <w:rPr>
                <w:b/>
              </w:rPr>
              <w:t xml:space="preserve">Кандидатът </w:t>
            </w:r>
            <w:r w:rsidRPr="00621B83">
              <w:rPr>
                <w:b/>
              </w:rPr>
              <w:t xml:space="preserve">и/или неговите </w:t>
            </w:r>
            <w:r w:rsidR="004936FD" w:rsidRPr="00621B83">
              <w:rPr>
                <w:b/>
              </w:rPr>
              <w:t xml:space="preserve">Партньори </w:t>
            </w:r>
            <w:r w:rsidRPr="00621B83">
              <w:rPr>
                <w:b/>
              </w:rPr>
              <w:t>участват в проекта със собствен финансов принос, този принос следва да бъде включен в бюджета на проекта</w:t>
            </w:r>
            <w:r w:rsidR="001E16B5" w:rsidRPr="00621B83">
              <w:rPr>
                <w:b/>
              </w:rPr>
              <w:t>.</w:t>
            </w:r>
          </w:p>
          <w:p w14:paraId="4966A0D2" w14:textId="77777777" w:rsidR="00BC44CB" w:rsidRDefault="00BC44CB" w:rsidP="00BC44CB">
            <w:pPr>
              <w:rPr>
                <w:b/>
              </w:rPr>
            </w:pPr>
            <w:r w:rsidRPr="00621B83">
              <w:rPr>
                <w:b/>
              </w:rPr>
              <w:t xml:space="preserve">Правилата за допустимост на разходите се прилагат и към собствения принос на бенефициента. </w:t>
            </w:r>
          </w:p>
          <w:p w14:paraId="04FB1D5C" w14:textId="57C0E6AA" w:rsidR="006C58AF" w:rsidRPr="00621B83" w:rsidRDefault="006C58AF" w:rsidP="006C58AF">
            <w:pPr>
              <w:rPr>
                <w:b/>
              </w:rPr>
            </w:pPr>
            <w:r>
              <w:rPr>
                <w:b/>
              </w:rPr>
              <w:t xml:space="preserve">Проектни предложения, които не са в съответствие с изискванията за минимален и максимален размер на БФП, не са допустими за финансиране и се отхвърлят по време на </w:t>
            </w:r>
            <w:r>
              <w:rPr>
                <w:b/>
              </w:rPr>
              <w:lastRenderedPageBreak/>
              <w:t xml:space="preserve">оценката.  </w:t>
            </w:r>
          </w:p>
        </w:tc>
      </w:tr>
    </w:tbl>
    <w:p w14:paraId="524A9FEB" w14:textId="77777777" w:rsidR="00D63C44" w:rsidRPr="00621B83" w:rsidRDefault="00D63C44" w:rsidP="0054168A">
      <w:pPr>
        <w:pStyle w:val="Heading1"/>
      </w:pPr>
      <w:bookmarkStart w:id="16" w:name="_Toc24983828"/>
      <w:r w:rsidRPr="00621B83">
        <w:lastRenderedPageBreak/>
        <w:t>НАСОКИ ЗА КАНДИДАТСТВАНЕ</w:t>
      </w:r>
      <w:bookmarkEnd w:id="16"/>
      <w:r w:rsidRPr="00621B83">
        <w:t xml:space="preserve"> </w:t>
      </w:r>
    </w:p>
    <w:p w14:paraId="13E5C946" w14:textId="77777777" w:rsidR="00D63C44" w:rsidRPr="00621B83" w:rsidRDefault="00D63C44" w:rsidP="003F0A89">
      <w:r w:rsidRPr="00621B83">
        <w:t>Настоящите Насоки за кандидатстване установяват правилата за подаване и подбор на проект</w:t>
      </w:r>
      <w:r w:rsidR="0080399C" w:rsidRPr="00621B83">
        <w:t>н</w:t>
      </w:r>
      <w:r w:rsidRPr="00621B83">
        <w:t>и</w:t>
      </w:r>
      <w:r w:rsidR="0080399C" w:rsidRPr="00621B83">
        <w:t xml:space="preserve"> предложения</w:t>
      </w:r>
      <w:r w:rsidRPr="00621B83">
        <w:t xml:space="preserve"> по </w:t>
      </w:r>
      <w:r w:rsidR="0063428A" w:rsidRPr="00621B83">
        <w:t xml:space="preserve">настоящата </w:t>
      </w:r>
      <w:r w:rsidRPr="00621B83">
        <w:t>открита процедура за подбор</w:t>
      </w:r>
      <w:r w:rsidR="003F0A89" w:rsidRPr="00621B83">
        <w:t xml:space="preserve"> на проекти</w:t>
      </w:r>
      <w:r w:rsidRPr="00621B83">
        <w:t>.</w:t>
      </w:r>
    </w:p>
    <w:p w14:paraId="7167402B" w14:textId="77777777" w:rsidR="00095BE0" w:rsidRPr="00621B83" w:rsidRDefault="003F0A89" w:rsidP="003F0A89">
      <w:r w:rsidRPr="00621B83">
        <w:t xml:space="preserve">Кандидатите могат да задават въпроси </w:t>
      </w:r>
      <w:r w:rsidR="00095BE0" w:rsidRPr="00621B83">
        <w:t xml:space="preserve">по Насоките за кандидатстване </w:t>
      </w:r>
      <w:r w:rsidRPr="00621B83">
        <w:t xml:space="preserve">по електронна поща. </w:t>
      </w:r>
      <w:r w:rsidR="00095BE0" w:rsidRPr="00621B83">
        <w:t>Въпросите могат да бъдат задавани не по-късно от 21 дни преди крайния срок за подаване на проектни предложения.</w:t>
      </w:r>
    </w:p>
    <w:p w14:paraId="53F7C572" w14:textId="5C09772A" w:rsidR="00DA32BD" w:rsidRDefault="000B6D33" w:rsidP="000B6D33">
      <w:r w:rsidRPr="00621B83">
        <w:t>Адрес на електронна поща:</w:t>
      </w:r>
      <w:r w:rsidR="00DA32BD" w:rsidRPr="00DA32BD">
        <w:t xml:space="preserve"> </w:t>
      </w:r>
      <w:hyperlink r:id="rId11" w:history="1">
        <w:r w:rsidR="00DA32BD" w:rsidRPr="00C96EC4">
          <w:rPr>
            <w:rStyle w:val="Hyperlink"/>
          </w:rPr>
          <w:t>eeagrants@me.government.bg</w:t>
        </w:r>
      </w:hyperlink>
    </w:p>
    <w:p w14:paraId="5670D320" w14:textId="77777777" w:rsidR="00095BE0" w:rsidRPr="00621B83" w:rsidRDefault="003F0A89" w:rsidP="003F0A89">
      <w:r w:rsidRPr="00621B83">
        <w:t>Въпросите и отговорите ще бъдат публикувани на сайта на Програмата, част от единния информационен портал на ФМ на ЕИП за Република България (</w:t>
      </w:r>
      <w:hyperlink r:id="rId12" w:history="1">
        <w:r w:rsidRPr="00621B83">
          <w:rPr>
            <w:rStyle w:val="Hyperlink"/>
          </w:rPr>
          <w:t>www.eeagrants.bg</w:t>
        </w:r>
      </w:hyperlink>
      <w:r w:rsidRPr="00621B83">
        <w:t xml:space="preserve">), както и в ИСУН 2020. Програмният оператор отговаря на зададените въпроси </w:t>
      </w:r>
      <w:r w:rsidR="003D67F4" w:rsidRPr="00621B83">
        <w:t>в срок до 5 работни дни, но</w:t>
      </w:r>
      <w:r w:rsidRPr="00621B83">
        <w:t xml:space="preserve"> не по-късно от 14 дни преди крайната дата за подаване на проектни предложения. </w:t>
      </w:r>
    </w:p>
    <w:p w14:paraId="416054C8" w14:textId="77777777" w:rsidR="00095BE0" w:rsidRPr="00621B83" w:rsidRDefault="00095BE0" w:rsidP="00095BE0">
      <w:r w:rsidRPr="00621B83">
        <w:t xml:space="preserve">Няма да бъдат предоставяни отговори на въпроси, зададени по телефона. Няма да бъдат изпращани индивидуални отговори по зададени от </w:t>
      </w:r>
      <w:r w:rsidR="0080399C" w:rsidRPr="00621B83">
        <w:t>К</w:t>
      </w:r>
      <w:r w:rsidRPr="00621B83">
        <w:t>андидатите по процедурата въпроси.</w:t>
      </w:r>
    </w:p>
    <w:p w14:paraId="27A1548D" w14:textId="77777777" w:rsidR="000B6D33" w:rsidRPr="00621B83" w:rsidRDefault="003F0A89" w:rsidP="003F0A89">
      <w:r w:rsidRPr="00621B83">
        <w:t>Всички въпроси и отговори ще бъдат предоставени на Оценителната комисия</w:t>
      </w:r>
      <w:r w:rsidR="0080399C" w:rsidRPr="00621B83">
        <w:t xml:space="preserve"> (ОК)</w:t>
      </w:r>
      <w:r w:rsidRPr="00621B83">
        <w:t xml:space="preserve"> и Комитета за подбор</w:t>
      </w:r>
      <w:r w:rsidR="0080399C" w:rsidRPr="00621B83">
        <w:t xml:space="preserve"> (КП)</w:t>
      </w:r>
      <w:r w:rsidRPr="00621B83">
        <w:t xml:space="preserve"> на проектни предложения и ще да бъдат взети предвид в процеса на оценка и подбор. </w:t>
      </w:r>
    </w:p>
    <w:p w14:paraId="73355B2B" w14:textId="77777777" w:rsidR="003F0A89" w:rsidRPr="00621B83" w:rsidRDefault="003F0A89" w:rsidP="003F0A89">
      <w:r w:rsidRPr="00621B83">
        <w:t xml:space="preserve">Разясненията, които се дават по отношение на </w:t>
      </w:r>
      <w:r w:rsidR="00034F6A" w:rsidRPr="00621B83">
        <w:t xml:space="preserve">Насоките </w:t>
      </w:r>
      <w:r w:rsidRPr="00621B83">
        <w:t xml:space="preserve">за кандидатстване, не могат да съдържат становище относно качеството на проектното предложение и са задължителни за всички </w:t>
      </w:r>
      <w:r w:rsidR="0080399C" w:rsidRPr="00621B83">
        <w:t>К</w:t>
      </w:r>
      <w:r w:rsidRPr="00621B83">
        <w:t>андидати.</w:t>
      </w:r>
    </w:p>
    <w:p w14:paraId="60F7786E" w14:textId="77777777" w:rsidR="003F0A89" w:rsidRPr="00621B83" w:rsidRDefault="003F0A89" w:rsidP="003F0A89">
      <w:r w:rsidRPr="00621B83">
        <w:t>Интернет страницата на Програмата</w:t>
      </w:r>
      <w:r w:rsidR="000B6D33" w:rsidRPr="00621B83">
        <w:t xml:space="preserve"> е</w:t>
      </w:r>
      <w:r w:rsidRPr="00621B83">
        <w:t xml:space="preserve"> част от единния информационен портал на ФМ на ЕИП за Р</w:t>
      </w:r>
      <w:r w:rsidR="00034F6A" w:rsidRPr="00621B83">
        <w:t>епублика</w:t>
      </w:r>
      <w:r w:rsidRPr="00621B83">
        <w:t xml:space="preserve"> България: </w:t>
      </w:r>
      <w:hyperlink r:id="rId13" w:history="1">
        <w:r w:rsidRPr="00621B83">
          <w:rPr>
            <w:rStyle w:val="Hyperlink"/>
          </w:rPr>
          <w:t>www.eeagrants.bg</w:t>
        </w:r>
      </w:hyperlink>
      <w:r w:rsidR="00B11F39" w:rsidRPr="00621B83">
        <w:rPr>
          <w:lang w:val="en-US"/>
        </w:rPr>
        <w:t>.</w:t>
      </w:r>
      <w:r w:rsidRPr="00621B83">
        <w:t xml:space="preserve"> </w:t>
      </w:r>
    </w:p>
    <w:p w14:paraId="10D3FEE3" w14:textId="77777777" w:rsidR="003F0A89" w:rsidRPr="00716C51" w:rsidRDefault="003F0A89" w:rsidP="000B6D33">
      <w:pPr>
        <w:rPr>
          <w:lang w:eastAsia="ar-SA"/>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891FEB" w:rsidRPr="00983251" w14:paraId="05F9F442" w14:textId="77777777" w:rsidTr="008668A3">
        <w:trPr>
          <w:trHeight w:val="790"/>
        </w:trPr>
        <w:tc>
          <w:tcPr>
            <w:tcW w:w="9812" w:type="dxa"/>
            <w:tcBorders>
              <w:top w:val="single" w:sz="12" w:space="0" w:color="ED7D31"/>
              <w:left w:val="single" w:sz="12" w:space="0" w:color="ED7D31"/>
              <w:bottom w:val="single" w:sz="12" w:space="0" w:color="ED7D31"/>
              <w:right w:val="single" w:sz="12" w:space="0" w:color="ED7D31"/>
            </w:tcBorders>
            <w:vAlign w:val="center"/>
          </w:tcPr>
          <w:p w14:paraId="2FE605A9" w14:textId="77777777" w:rsidR="00891FEB" w:rsidRPr="00621B83" w:rsidRDefault="00891FEB" w:rsidP="007F423C">
            <w:pPr>
              <w:rPr>
                <w:b/>
              </w:rPr>
            </w:pPr>
            <w:r w:rsidRPr="00621B83">
              <w:rPr>
                <w:b/>
              </w:rPr>
              <w:t>ВАЖНО!</w:t>
            </w:r>
          </w:p>
          <w:p w14:paraId="2673EAE7" w14:textId="77777777" w:rsidR="00891FEB" w:rsidRPr="00621B83" w:rsidRDefault="00891FEB" w:rsidP="007F423C">
            <w:pPr>
              <w:rPr>
                <w:b/>
              </w:rPr>
            </w:pPr>
            <w:r w:rsidRPr="00621B83">
              <w:rPr>
                <w:b/>
              </w:rPr>
              <w:t>Програмният оператор си запазва правото да прави промени в Насоките за кандидатстване в следните случаи:</w:t>
            </w:r>
          </w:p>
          <w:p w14:paraId="480776D6" w14:textId="77777777" w:rsidR="00891FEB" w:rsidRPr="00621B83" w:rsidRDefault="00891FEB" w:rsidP="007F423C">
            <w:pPr>
              <w:numPr>
                <w:ilvl w:val="0"/>
                <w:numId w:val="4"/>
              </w:numPr>
              <w:rPr>
                <w:b/>
              </w:rPr>
            </w:pPr>
            <w:r w:rsidRPr="00621B83">
              <w:rPr>
                <w:b/>
              </w:rPr>
              <w:t>в резултат на промени в българското или европейското законодателство;</w:t>
            </w:r>
          </w:p>
          <w:p w14:paraId="6166BE31" w14:textId="77777777" w:rsidR="00891FEB" w:rsidRPr="00621B83" w:rsidRDefault="00891FEB" w:rsidP="007F423C">
            <w:pPr>
              <w:numPr>
                <w:ilvl w:val="0"/>
                <w:numId w:val="4"/>
              </w:numPr>
              <w:rPr>
                <w:b/>
              </w:rPr>
            </w:pPr>
            <w:r w:rsidRPr="00621B83">
              <w:rPr>
                <w:b/>
              </w:rPr>
              <w:t>в резултат на промени в националните политики в съответната област, потвърдени с акт на Министерския съвет;</w:t>
            </w:r>
          </w:p>
          <w:p w14:paraId="3D9B3E75" w14:textId="77777777" w:rsidR="00891FEB" w:rsidRPr="00621B83" w:rsidRDefault="00891FEB" w:rsidP="007F423C">
            <w:pPr>
              <w:numPr>
                <w:ilvl w:val="0"/>
                <w:numId w:val="4"/>
              </w:numPr>
              <w:rPr>
                <w:b/>
              </w:rPr>
            </w:pPr>
            <w:r w:rsidRPr="00621B83">
              <w:rPr>
                <w:b/>
              </w:rPr>
              <w:t xml:space="preserve">в случай че се увеличи финансовият ресурс по съответната процедура. В тези случаи само частта, която показва цялостния финансов ресурс за процедурата може да бъде променяна в </w:t>
            </w:r>
            <w:r w:rsidR="000F60B4" w:rsidRPr="00621B83">
              <w:rPr>
                <w:b/>
              </w:rPr>
              <w:t xml:space="preserve">Насоките </w:t>
            </w:r>
            <w:r w:rsidRPr="00621B83">
              <w:rPr>
                <w:b/>
              </w:rPr>
              <w:t xml:space="preserve">за кандидатстване, тъй като процентът на съфинансирането не може да бъде променян, както и минималният и максималният размер на </w:t>
            </w:r>
            <w:r w:rsidR="000F60B4" w:rsidRPr="00621B83">
              <w:rPr>
                <w:b/>
              </w:rPr>
              <w:t>БФП</w:t>
            </w:r>
            <w:r w:rsidRPr="00621B83">
              <w:rPr>
                <w:b/>
              </w:rPr>
              <w:t xml:space="preserve"> за отделните проекти;</w:t>
            </w:r>
          </w:p>
          <w:p w14:paraId="07B7F47C" w14:textId="77777777" w:rsidR="00891FEB" w:rsidRPr="00621B83" w:rsidRDefault="00891FEB" w:rsidP="007F423C">
            <w:pPr>
              <w:numPr>
                <w:ilvl w:val="0"/>
                <w:numId w:val="4"/>
              </w:numPr>
              <w:rPr>
                <w:b/>
              </w:rPr>
            </w:pPr>
            <w:r w:rsidRPr="00621B83">
              <w:rPr>
                <w:b/>
              </w:rPr>
              <w:t>за да бъде елиминирана техническа или фактическа грешка;</w:t>
            </w:r>
          </w:p>
          <w:p w14:paraId="372AF4B1" w14:textId="77777777" w:rsidR="00891FEB" w:rsidRPr="00621B83" w:rsidRDefault="00891FEB" w:rsidP="007F423C">
            <w:pPr>
              <w:numPr>
                <w:ilvl w:val="0"/>
                <w:numId w:val="4"/>
              </w:numPr>
              <w:rPr>
                <w:b/>
              </w:rPr>
            </w:pPr>
            <w:r w:rsidRPr="00621B83">
              <w:rPr>
                <w:b/>
              </w:rPr>
              <w:t>за да се увеличи крайният срок за подаване на проектни предложения.</w:t>
            </w:r>
          </w:p>
        </w:tc>
      </w:tr>
    </w:tbl>
    <w:p w14:paraId="611C462A" w14:textId="77777777" w:rsidR="00274E61" w:rsidRPr="00621B83" w:rsidRDefault="00430496" w:rsidP="0054168A">
      <w:pPr>
        <w:pStyle w:val="Heading1"/>
      </w:pPr>
      <w:bookmarkStart w:id="17" w:name="_Toc24983829"/>
      <w:r w:rsidRPr="00621B83">
        <w:lastRenderedPageBreak/>
        <w:t>ДОПУСТИМИ КАНДИДАТИ</w:t>
      </w:r>
      <w:bookmarkEnd w:id="17"/>
    </w:p>
    <w:p w14:paraId="14BCB052" w14:textId="77777777" w:rsidR="005404D5" w:rsidRPr="00621B83" w:rsidRDefault="005404D5" w:rsidP="005404D5">
      <w:r w:rsidRPr="00621B83">
        <w:t>По тази процедура за подбор на проектни предложения са допустими единствено общини</w:t>
      </w:r>
      <w:r w:rsidR="0063428A" w:rsidRPr="00621B83">
        <w:t xml:space="preserve"> по смисъла на чл. 14 от Закона за местното самоуправление и местната администрация</w:t>
      </w:r>
      <w:r w:rsidRPr="00621B83">
        <w:t>.</w:t>
      </w:r>
    </w:p>
    <w:p w14:paraId="25C50552" w14:textId="77777777" w:rsidR="005404D5" w:rsidRPr="00621B83" w:rsidRDefault="005404D5" w:rsidP="005404D5"/>
    <w:p w14:paraId="1269D1DD" w14:textId="77777777" w:rsidR="00274E61" w:rsidRPr="00716C51" w:rsidRDefault="00D37B67" w:rsidP="00C021CC">
      <w:pPr>
        <w:pStyle w:val="Heading2"/>
      </w:pPr>
      <w:bookmarkStart w:id="18" w:name="_Toc24983830"/>
      <w:r w:rsidRPr="00716C51">
        <w:t>КРИТЕРИИ ЗА ДОПУСТИМОСТ НА КАНДИДАТИТЕ</w:t>
      </w:r>
      <w:bookmarkEnd w:id="18"/>
    </w:p>
    <w:p w14:paraId="00A4D22C" w14:textId="77777777" w:rsidR="00F24F75" w:rsidRPr="00621B83" w:rsidRDefault="00F24F75" w:rsidP="00F24F75">
      <w:pPr>
        <w:rPr>
          <w:b/>
        </w:rPr>
      </w:pPr>
      <w:r w:rsidRPr="00621B83">
        <w:rPr>
          <w:b/>
        </w:rPr>
        <w:t xml:space="preserve">За да бъде допустим, </w:t>
      </w:r>
      <w:r w:rsidR="000F60B4" w:rsidRPr="00621B83">
        <w:rPr>
          <w:b/>
        </w:rPr>
        <w:t xml:space="preserve">Кандидатът </w:t>
      </w:r>
      <w:r w:rsidRPr="00621B83">
        <w:rPr>
          <w:b/>
        </w:rPr>
        <w:t>следва:</w:t>
      </w:r>
    </w:p>
    <w:p w14:paraId="4E1F8F04" w14:textId="77777777" w:rsidR="00F24F75" w:rsidRPr="00621B83" w:rsidRDefault="00F24F75" w:rsidP="0080399C">
      <w:pPr>
        <w:numPr>
          <w:ilvl w:val="0"/>
          <w:numId w:val="35"/>
        </w:numPr>
      </w:pPr>
      <w:r w:rsidRPr="00621B83">
        <w:t xml:space="preserve">да </w:t>
      </w:r>
      <w:r w:rsidR="00446BE3" w:rsidRPr="00621B83">
        <w:t>е община на територията на</w:t>
      </w:r>
      <w:r w:rsidRPr="00621B83">
        <w:t xml:space="preserve"> Република България;</w:t>
      </w:r>
    </w:p>
    <w:p w14:paraId="2BBE6CAA" w14:textId="77777777" w:rsidR="00F24F75" w:rsidRPr="00621B83" w:rsidRDefault="00F24F75" w:rsidP="000612BA">
      <w:pPr>
        <w:numPr>
          <w:ilvl w:val="0"/>
          <w:numId w:val="35"/>
        </w:numPr>
      </w:pPr>
      <w:r w:rsidRPr="00621B83">
        <w:t>да бъде пряко отговорен за управлението и изпълнението на дейностите по проекта, а не да действа като посредник.</w:t>
      </w:r>
    </w:p>
    <w:p w14:paraId="435B7D64" w14:textId="77777777" w:rsidR="00F24F75" w:rsidRPr="00621B83" w:rsidRDefault="00F24F75" w:rsidP="00B5147F"/>
    <w:p w14:paraId="27E631AF" w14:textId="77777777" w:rsidR="00AC3D27" w:rsidRPr="00716C51" w:rsidRDefault="00D37B67" w:rsidP="00C021CC">
      <w:pPr>
        <w:pStyle w:val="Heading2"/>
      </w:pPr>
      <w:bookmarkStart w:id="19" w:name="_Toc24983831"/>
      <w:r w:rsidRPr="00716C51">
        <w:t>КРИТЕРИИ ЗА НЕДОПУСТИМОСТ НА КАНДИДАТИТЕ</w:t>
      </w:r>
      <w:bookmarkEnd w:id="19"/>
    </w:p>
    <w:p w14:paraId="450CBD92" w14:textId="77777777" w:rsidR="00842203" w:rsidRPr="00621B83" w:rsidRDefault="00842203" w:rsidP="00842203">
      <w:pPr>
        <w:rPr>
          <w:b/>
        </w:rPr>
      </w:pPr>
      <w:r w:rsidRPr="00621B83">
        <w:rPr>
          <w:b/>
        </w:rPr>
        <w:t xml:space="preserve">Не се допуска за финансиране </w:t>
      </w:r>
      <w:r w:rsidR="000612BA" w:rsidRPr="00621B83">
        <w:rPr>
          <w:b/>
        </w:rPr>
        <w:t>Кандидат</w:t>
      </w:r>
      <w:r w:rsidRPr="00621B83">
        <w:rPr>
          <w:b/>
        </w:rPr>
        <w:t>:</w:t>
      </w:r>
    </w:p>
    <w:p w14:paraId="14D17052" w14:textId="77777777" w:rsidR="00DE0CE1" w:rsidRPr="00621B83" w:rsidRDefault="00252F90" w:rsidP="0080399C">
      <w:pPr>
        <w:numPr>
          <w:ilvl w:val="0"/>
          <w:numId w:val="10"/>
        </w:numPr>
        <w:ind w:left="709" w:hanging="349"/>
      </w:pPr>
      <w:r w:rsidRPr="00621B83">
        <w:t>ко</w:t>
      </w:r>
      <w:r w:rsidR="00972090" w:rsidRPr="00621B83">
        <w:t>й</w:t>
      </w:r>
      <w:r w:rsidRPr="00621B83">
        <w:t>то</w:t>
      </w:r>
      <w:r w:rsidRPr="00621B83" w:rsidDel="000830E6">
        <w:t xml:space="preserve"> </w:t>
      </w:r>
      <w:r w:rsidR="000830E6" w:rsidRPr="00621B83">
        <w:t>и</w:t>
      </w:r>
      <w:r w:rsidR="00972090" w:rsidRPr="00621B83">
        <w:t>ма</w:t>
      </w:r>
      <w:r w:rsidR="00AE30F7" w:rsidRPr="00621B83">
        <w:t xml:space="preserve"> задължения за данъци и задължителни осигурителни вноски по смисъла на </w:t>
      </w:r>
      <w:hyperlink r:id="rId14" w:anchor="p35632905" w:tgtFrame="_blank" w:history="1">
        <w:r w:rsidR="00AE30F7" w:rsidRPr="00621B83">
          <w:t>чл. 162, ал. 2, т. 1 от Данъчно-осигурителния процесуален кодекс</w:t>
        </w:r>
      </w:hyperlink>
      <w:r w:rsidR="00AE30F7" w:rsidRPr="00621B83">
        <w:t xml:space="preserve"> и лихвите по тях към държавата, доказани с влязъл в сила акт на компетентен орган</w:t>
      </w:r>
      <w:r w:rsidR="00DE0CE1" w:rsidRPr="00621B83">
        <w:t>, освен когато размерът на неплатените дължими данъци или социалноосигурителни вноски е до 1 на сто от сумата на годишния бюджет за последната година, но не повече от 50 000 лв.</w:t>
      </w:r>
    </w:p>
    <w:p w14:paraId="41CEAAF1" w14:textId="77777777" w:rsidR="00972090" w:rsidRPr="00621B83" w:rsidRDefault="00972090" w:rsidP="0080399C">
      <w:pPr>
        <w:numPr>
          <w:ilvl w:val="0"/>
          <w:numId w:val="10"/>
        </w:numPr>
        <w:ind w:left="709" w:hanging="349"/>
      </w:pPr>
      <w:r w:rsidRPr="00621B83">
        <w:t>за който е установено, че:</w:t>
      </w:r>
    </w:p>
    <w:p w14:paraId="3080BF63" w14:textId="77777777" w:rsidR="00656113" w:rsidRPr="00DF2A21" w:rsidRDefault="00972090" w:rsidP="0056509B">
      <w:pPr>
        <w:pStyle w:val="NormalWeb"/>
        <w:spacing w:before="0" w:beforeAutospacing="0" w:after="0" w:afterAutospacing="0" w:line="360" w:lineRule="auto"/>
        <w:ind w:left="1065"/>
        <w:rPr>
          <w:rFonts w:ascii="Verdana" w:hAnsi="Verdana"/>
          <w:sz w:val="18"/>
          <w:szCs w:val="18"/>
        </w:rPr>
      </w:pPr>
      <w:r w:rsidRPr="00DF2A21">
        <w:rPr>
          <w:rFonts w:ascii="Verdana" w:hAnsi="Verdana"/>
          <w:sz w:val="18"/>
          <w:szCs w:val="18"/>
        </w:rPr>
        <w:t>а) е представил документ с невярно съдържание</w:t>
      </w:r>
      <w:r w:rsidR="00656113" w:rsidRPr="00DF2A21">
        <w:rPr>
          <w:rFonts w:ascii="Verdana" w:hAnsi="Verdana"/>
          <w:sz w:val="18"/>
          <w:szCs w:val="18"/>
        </w:rPr>
        <w:t xml:space="preserve"> при участието си в процедурата;</w:t>
      </w:r>
    </w:p>
    <w:p w14:paraId="563AF8A7" w14:textId="77777777" w:rsidR="00972090" w:rsidRPr="00DF2A21" w:rsidRDefault="00972090" w:rsidP="0056509B">
      <w:pPr>
        <w:pStyle w:val="NormalWeb"/>
        <w:spacing w:before="0" w:beforeAutospacing="0" w:after="0" w:afterAutospacing="0" w:line="360" w:lineRule="auto"/>
        <w:ind w:left="1065"/>
        <w:rPr>
          <w:rFonts w:ascii="Verdana" w:hAnsi="Verdana"/>
          <w:sz w:val="18"/>
          <w:szCs w:val="18"/>
        </w:rPr>
      </w:pPr>
      <w:r w:rsidRPr="00DF2A21">
        <w:rPr>
          <w:rFonts w:ascii="Verdana" w:hAnsi="Verdana"/>
          <w:sz w:val="18"/>
          <w:szCs w:val="18"/>
        </w:rPr>
        <w:t xml:space="preserve">б) не е предоставил изискваща се информация, свързана с удостоверяване </w:t>
      </w:r>
      <w:r w:rsidR="00642F64" w:rsidRPr="00DF2A21">
        <w:rPr>
          <w:rFonts w:ascii="Verdana" w:hAnsi="Verdana"/>
          <w:sz w:val="18"/>
          <w:szCs w:val="18"/>
        </w:rPr>
        <w:t>на определени обстоятелства в процедурата</w:t>
      </w:r>
      <w:r w:rsidR="0080399C" w:rsidRPr="00DF2A21">
        <w:rPr>
          <w:rFonts w:ascii="Verdana" w:hAnsi="Verdana"/>
          <w:sz w:val="18"/>
          <w:szCs w:val="18"/>
        </w:rPr>
        <w:t>.</w:t>
      </w:r>
    </w:p>
    <w:p w14:paraId="2F6207A5" w14:textId="77777777" w:rsidR="00972090" w:rsidRPr="00621B83" w:rsidRDefault="00642F64" w:rsidP="0080399C">
      <w:pPr>
        <w:numPr>
          <w:ilvl w:val="0"/>
          <w:numId w:val="10"/>
        </w:numPr>
        <w:ind w:left="709" w:hanging="349"/>
      </w:pPr>
      <w:r w:rsidRPr="00621B83">
        <w:t>за който</w:t>
      </w:r>
      <w:r w:rsidR="00972090" w:rsidRPr="00621B83">
        <w:t xml:space="preserve"> е установено с влязло в сила наказателно постановление или съдебно решение, нарушение на </w:t>
      </w:r>
      <w:hyperlink r:id="rId15" w:anchor="p5987541" w:tgtFrame="_blank" w:history="1">
        <w:r w:rsidR="00972090" w:rsidRPr="00621B83">
          <w:t>чл. 61, ал. 1</w:t>
        </w:r>
      </w:hyperlink>
      <w:r w:rsidR="00972090" w:rsidRPr="00621B83">
        <w:t xml:space="preserve">, </w:t>
      </w:r>
      <w:hyperlink r:id="rId16" w:anchor="p5988269" w:tgtFrame="_blank" w:history="1">
        <w:r w:rsidR="00972090" w:rsidRPr="00621B83">
          <w:t>чл. 62, ал. 1</w:t>
        </w:r>
      </w:hyperlink>
      <w:r w:rsidR="00972090" w:rsidRPr="00621B83">
        <w:t xml:space="preserve"> или </w:t>
      </w:r>
      <w:hyperlink r:id="rId17" w:anchor="p5988269" w:tgtFrame="_blank" w:history="1">
        <w:r w:rsidR="00972090" w:rsidRPr="00621B83">
          <w:t>3</w:t>
        </w:r>
      </w:hyperlink>
      <w:r w:rsidR="00972090" w:rsidRPr="00621B83">
        <w:t xml:space="preserve">, </w:t>
      </w:r>
      <w:hyperlink r:id="rId18" w:anchor="p5987881" w:tgtFrame="_blank" w:history="1">
        <w:r w:rsidR="00972090" w:rsidRPr="00621B83">
          <w:t>чл. 63, ал. 1</w:t>
        </w:r>
      </w:hyperlink>
      <w:r w:rsidR="00972090" w:rsidRPr="00621B83">
        <w:t xml:space="preserve"> или </w:t>
      </w:r>
      <w:hyperlink r:id="rId19" w:anchor="p5987881" w:tgtFrame="_blank" w:history="1">
        <w:r w:rsidR="00972090" w:rsidRPr="00621B83">
          <w:t>2</w:t>
        </w:r>
      </w:hyperlink>
      <w:r w:rsidR="00972090" w:rsidRPr="00621B83">
        <w:t xml:space="preserve">, </w:t>
      </w:r>
      <w:hyperlink r:id="rId20" w:anchor="p5987599" w:tgtFrame="_blank" w:history="1">
        <w:r w:rsidR="00972090" w:rsidRPr="00621B83">
          <w:t>чл. 118</w:t>
        </w:r>
      </w:hyperlink>
      <w:r w:rsidR="00972090" w:rsidRPr="00621B83">
        <w:t xml:space="preserve">, </w:t>
      </w:r>
      <w:hyperlink r:id="rId21" w:anchor="p5986991" w:tgtFrame="_blank" w:history="1">
        <w:r w:rsidR="00972090" w:rsidRPr="00621B83">
          <w:t>чл. 128</w:t>
        </w:r>
      </w:hyperlink>
      <w:r w:rsidR="00972090" w:rsidRPr="00621B83">
        <w:t xml:space="preserve">, </w:t>
      </w:r>
      <w:hyperlink r:id="rId22" w:anchor="p36456930" w:tgtFrame="_blank" w:history="1">
        <w:r w:rsidR="00972090" w:rsidRPr="00621B83">
          <w:t>чл. 228, ал. 3</w:t>
        </w:r>
      </w:hyperlink>
      <w:r w:rsidR="00972090" w:rsidRPr="00621B83">
        <w:t xml:space="preserve">, </w:t>
      </w:r>
      <w:hyperlink r:id="rId23" w:anchor="p5987740" w:tgtFrame="_blank" w:history="1">
        <w:r w:rsidR="00972090" w:rsidRPr="00621B83">
          <w:t>чл. 245</w:t>
        </w:r>
      </w:hyperlink>
      <w:r w:rsidR="00972090" w:rsidRPr="00621B83">
        <w:t xml:space="preserve"> и </w:t>
      </w:r>
      <w:hyperlink r:id="rId24" w:anchor="p5987759" w:tgtFrame="_blank" w:history="1">
        <w:r w:rsidR="00972090" w:rsidRPr="00621B83">
          <w:t>чл. 301</w:t>
        </w:r>
      </w:hyperlink>
      <w:r w:rsidR="00972090" w:rsidRPr="00621B83">
        <w:t xml:space="preserve"> – </w:t>
      </w:r>
      <w:hyperlink r:id="rId25" w:anchor="p5987995" w:tgtFrame="_blank" w:history="1">
        <w:r w:rsidR="00972090" w:rsidRPr="00621B83">
          <w:t>305 от Кодекса на труда</w:t>
        </w:r>
      </w:hyperlink>
      <w:r w:rsidR="00972090" w:rsidRPr="00621B83">
        <w:t xml:space="preserve"> или </w:t>
      </w:r>
      <w:hyperlink r:id="rId26" w:anchor="p37429892" w:tgtFrame="_blank" w:history="1">
        <w:r w:rsidR="00972090" w:rsidRPr="00621B83">
          <w:t>чл. 13, ал. 1 от Закона за трудовата миграция и трудовата мобилност</w:t>
        </w:r>
      </w:hyperlink>
      <w:r w:rsidR="00972090" w:rsidRPr="00621B83">
        <w:t>;</w:t>
      </w:r>
    </w:p>
    <w:p w14:paraId="5ECC0AC6" w14:textId="77777777" w:rsidR="00AF6E9A" w:rsidRPr="00621B83" w:rsidRDefault="00252F90" w:rsidP="0080399C">
      <w:pPr>
        <w:numPr>
          <w:ilvl w:val="0"/>
          <w:numId w:val="10"/>
        </w:numPr>
        <w:ind w:left="709" w:hanging="349"/>
      </w:pPr>
      <w:r w:rsidRPr="00621B83">
        <w:t xml:space="preserve">чийто представляващ, </w:t>
      </w:r>
      <w:r w:rsidR="00AF6E9A" w:rsidRPr="00621B83">
        <w:t xml:space="preserve">е осъден с влязла в сила присъда за престъпление по </w:t>
      </w:r>
      <w:hyperlink r:id="rId27" w:anchor="p36391003" w:tgtFrame="_blank" w:history="1">
        <w:r w:rsidR="00AF6E9A" w:rsidRPr="00621B83">
          <w:t>чл. 108а</w:t>
        </w:r>
      </w:hyperlink>
      <w:r w:rsidR="00AF6E9A" w:rsidRPr="00621B83">
        <w:t xml:space="preserve">, </w:t>
      </w:r>
      <w:hyperlink r:id="rId28" w:anchor="p27695350" w:tgtFrame="_blank" w:history="1">
        <w:r w:rsidR="00AF6E9A" w:rsidRPr="00621B83">
          <w:t>чл. 159а</w:t>
        </w:r>
      </w:hyperlink>
      <w:r w:rsidR="00AF6E9A" w:rsidRPr="00621B83">
        <w:t xml:space="preserve"> – </w:t>
      </w:r>
      <w:hyperlink r:id="rId29" w:anchor="p27695353" w:tgtFrame="_blank" w:history="1">
        <w:r w:rsidR="00AF6E9A" w:rsidRPr="00621B83">
          <w:t>159г</w:t>
        </w:r>
      </w:hyperlink>
      <w:r w:rsidR="00AF6E9A" w:rsidRPr="00621B83">
        <w:t xml:space="preserve">, </w:t>
      </w:r>
      <w:hyperlink r:id="rId30" w:anchor="p27695373" w:tgtFrame="_blank" w:history="1">
        <w:r w:rsidR="00AF6E9A" w:rsidRPr="00621B83">
          <w:t>чл. 172</w:t>
        </w:r>
      </w:hyperlink>
      <w:r w:rsidR="00AF6E9A" w:rsidRPr="00621B83">
        <w:t xml:space="preserve">, </w:t>
      </w:r>
      <w:hyperlink r:id="rId31" w:anchor="p27695396" w:tgtFrame="_blank" w:history="1">
        <w:r w:rsidR="00AF6E9A" w:rsidRPr="00621B83">
          <w:t>чл. 192а</w:t>
        </w:r>
      </w:hyperlink>
      <w:r w:rsidR="00AF6E9A" w:rsidRPr="00621B83">
        <w:t xml:space="preserve">, </w:t>
      </w:r>
      <w:hyperlink r:id="rId32" w:anchor="p27695400" w:tgtFrame="_blank" w:history="1">
        <w:r w:rsidR="00AF6E9A" w:rsidRPr="00621B83">
          <w:t>чл. 194</w:t>
        </w:r>
      </w:hyperlink>
      <w:r w:rsidR="00AF6E9A" w:rsidRPr="00621B83">
        <w:t xml:space="preserve"> – </w:t>
      </w:r>
      <w:hyperlink r:id="rId33" w:anchor="p27695429" w:tgtFrame="_blank" w:history="1">
        <w:r w:rsidR="00AF6E9A" w:rsidRPr="00621B83">
          <w:t>217</w:t>
        </w:r>
      </w:hyperlink>
      <w:r w:rsidR="00AF6E9A" w:rsidRPr="00621B83">
        <w:t xml:space="preserve">, </w:t>
      </w:r>
      <w:hyperlink r:id="rId34" w:anchor="p27695435" w:tgtFrame="_blank" w:history="1">
        <w:r w:rsidR="00AF6E9A" w:rsidRPr="00621B83">
          <w:t>чл. 219</w:t>
        </w:r>
      </w:hyperlink>
      <w:r w:rsidR="00AF6E9A" w:rsidRPr="00621B83">
        <w:t xml:space="preserve"> – </w:t>
      </w:r>
      <w:hyperlink r:id="rId35" w:anchor="p27695481" w:tgtFrame="_blank" w:history="1">
        <w:r w:rsidR="00AF6E9A" w:rsidRPr="00621B83">
          <w:t>252</w:t>
        </w:r>
      </w:hyperlink>
      <w:r w:rsidR="00AF6E9A" w:rsidRPr="00621B83">
        <w:t xml:space="preserve">, </w:t>
      </w:r>
      <w:hyperlink r:id="rId36" w:anchor="p29221082" w:tgtFrame="_blank" w:history="1">
        <w:r w:rsidR="00AF6E9A" w:rsidRPr="00621B83">
          <w:t>чл. 253</w:t>
        </w:r>
      </w:hyperlink>
      <w:r w:rsidR="00AF6E9A" w:rsidRPr="00621B83">
        <w:t xml:space="preserve"> – </w:t>
      </w:r>
      <w:hyperlink r:id="rId37" w:anchor="p27695493" w:tgtFrame="_blank" w:history="1">
        <w:r w:rsidR="00AF6E9A" w:rsidRPr="00621B83">
          <w:t>260</w:t>
        </w:r>
      </w:hyperlink>
      <w:r w:rsidR="00AF6E9A" w:rsidRPr="00621B83">
        <w:t xml:space="preserve">, </w:t>
      </w:r>
      <w:hyperlink r:id="rId38" w:anchor="p29221086" w:tgtFrame="_blank" w:history="1">
        <w:r w:rsidR="00AF6E9A" w:rsidRPr="00621B83">
          <w:t>чл. 301</w:t>
        </w:r>
      </w:hyperlink>
      <w:r w:rsidR="00AF6E9A" w:rsidRPr="00621B83">
        <w:t xml:space="preserve"> – </w:t>
      </w:r>
      <w:hyperlink r:id="rId39" w:anchor="p29221087" w:tgtFrame="_blank" w:history="1">
        <w:r w:rsidR="00AF6E9A" w:rsidRPr="00621B83">
          <w:t>307</w:t>
        </w:r>
      </w:hyperlink>
      <w:r w:rsidR="00AF6E9A" w:rsidRPr="00621B83">
        <w:t xml:space="preserve">, </w:t>
      </w:r>
      <w:hyperlink r:id="rId40" w:anchor="p27695570" w:tgtFrame="_blank" w:history="1">
        <w:r w:rsidR="00AF6E9A" w:rsidRPr="00621B83">
          <w:t>чл. 321</w:t>
        </w:r>
      </w:hyperlink>
      <w:r w:rsidR="00AF6E9A" w:rsidRPr="00621B83">
        <w:t xml:space="preserve">, </w:t>
      </w:r>
      <w:hyperlink r:id="rId41" w:anchor="p5974115" w:tgtFrame="_blank" w:history="1">
        <w:r w:rsidR="00AF6E9A" w:rsidRPr="00621B83">
          <w:t>321а</w:t>
        </w:r>
      </w:hyperlink>
      <w:r w:rsidR="00AF6E9A" w:rsidRPr="00621B83">
        <w:t xml:space="preserve"> и </w:t>
      </w:r>
      <w:hyperlink r:id="rId42" w:anchor="p27695608" w:tgtFrame="_blank" w:history="1">
        <w:r w:rsidR="00AF6E9A" w:rsidRPr="00621B83">
          <w:t>чл. 352</w:t>
        </w:r>
      </w:hyperlink>
      <w:r w:rsidR="00AF6E9A" w:rsidRPr="00621B83">
        <w:t xml:space="preserve"> – </w:t>
      </w:r>
      <w:hyperlink r:id="rId43" w:anchor="p5974377" w:tgtFrame="_blank" w:history="1">
        <w:r w:rsidR="00AF6E9A" w:rsidRPr="00621B83">
          <w:t>353е от Наказателния кодекс</w:t>
        </w:r>
      </w:hyperlink>
      <w:r w:rsidR="00972090" w:rsidRPr="00621B83">
        <w:t xml:space="preserve"> или за </w:t>
      </w:r>
      <w:r w:rsidR="00AF6E9A" w:rsidRPr="00621B83">
        <w:t xml:space="preserve">престъпление, аналогично на </w:t>
      </w:r>
      <w:r w:rsidR="00972090" w:rsidRPr="00621B83">
        <w:t>изброените</w:t>
      </w:r>
      <w:r w:rsidR="00AF6E9A" w:rsidRPr="00621B83">
        <w:t>, в друга държава членка или трета страна;</w:t>
      </w:r>
    </w:p>
    <w:p w14:paraId="54C632DB" w14:textId="77777777" w:rsidR="00AF6E9A" w:rsidRPr="00621B83" w:rsidRDefault="00AE0F68" w:rsidP="0080399C">
      <w:pPr>
        <w:numPr>
          <w:ilvl w:val="0"/>
          <w:numId w:val="10"/>
        </w:numPr>
        <w:ind w:left="709" w:hanging="349"/>
      </w:pPr>
      <w:r w:rsidRPr="00621B83">
        <w:t xml:space="preserve">за чийто представляващ </w:t>
      </w:r>
      <w:r w:rsidR="00AF6E9A" w:rsidRPr="00621B83">
        <w:t>е налице конфликт на интереси, който не може да бъде отстранен</w:t>
      </w:r>
      <w:r w:rsidR="00E51E6D" w:rsidRPr="00621B83">
        <w:t>;</w:t>
      </w:r>
    </w:p>
    <w:p w14:paraId="5299EF19" w14:textId="77777777" w:rsidR="00E51E6D" w:rsidRPr="00621B83" w:rsidRDefault="00E51E6D" w:rsidP="0080399C">
      <w:pPr>
        <w:numPr>
          <w:ilvl w:val="0"/>
          <w:numId w:val="10"/>
        </w:numPr>
        <w:ind w:left="709" w:hanging="349"/>
      </w:pPr>
      <w:r w:rsidRPr="00621B83">
        <w:t>който</w:t>
      </w:r>
      <w:r w:rsidRPr="00621B83" w:rsidDel="000830E6">
        <w:t xml:space="preserve"> </w:t>
      </w:r>
      <w:r w:rsidRPr="00621B83">
        <w:t>има неизпълнено разпореждане на Европейската комисия за възстановяване на предоставената им неправомерна и несъвместима държавна помощ.</w:t>
      </w:r>
    </w:p>
    <w:p w14:paraId="76766F5D" w14:textId="77777777" w:rsidR="009F4C29" w:rsidRPr="00716C51" w:rsidRDefault="007E273E" w:rsidP="00C021CC">
      <w:pPr>
        <w:pStyle w:val="Heading2"/>
      </w:pPr>
      <w:bookmarkStart w:id="20" w:name="_Toc24983832"/>
      <w:r w:rsidRPr="00716C51">
        <w:t>ДОКАЗАТЕЛСТВА ЗА УСТАНОВЯВАНЕ НА ДОПУСТИМОСТ</w:t>
      </w:r>
      <w:r w:rsidR="00BF1224" w:rsidRPr="00716C51">
        <w:t xml:space="preserve"> НА КАНДИДАТА</w:t>
      </w:r>
      <w:bookmarkEnd w:id="20"/>
    </w:p>
    <w:p w14:paraId="389B4875" w14:textId="77777777" w:rsidR="004A2B50" w:rsidRPr="00621B83" w:rsidRDefault="00AC6F25" w:rsidP="00583E2B">
      <w:r w:rsidRPr="00621B83">
        <w:t>Кандидатът трябва да представи</w:t>
      </w:r>
      <w:r w:rsidR="004A2B50" w:rsidRPr="00621B83">
        <w:t>:</w:t>
      </w:r>
    </w:p>
    <w:p w14:paraId="38378C24" w14:textId="77777777" w:rsidR="002C15BB" w:rsidRPr="00621B83" w:rsidRDefault="007E4657" w:rsidP="0080399C">
      <w:pPr>
        <w:numPr>
          <w:ilvl w:val="0"/>
          <w:numId w:val="10"/>
        </w:numPr>
        <w:ind w:left="709" w:hanging="349"/>
      </w:pPr>
      <w:r w:rsidRPr="00621B83">
        <w:t xml:space="preserve">Решение </w:t>
      </w:r>
      <w:r w:rsidR="00AC6F25" w:rsidRPr="00621B83">
        <w:t xml:space="preserve">на Общинския съвет за </w:t>
      </w:r>
      <w:r w:rsidR="004A2B50" w:rsidRPr="00621B83">
        <w:t xml:space="preserve">съгласие </w:t>
      </w:r>
      <w:r w:rsidR="00B01D3C" w:rsidRPr="00621B83">
        <w:t xml:space="preserve">общината да </w:t>
      </w:r>
      <w:r w:rsidR="00E017B7" w:rsidRPr="00621B83">
        <w:t xml:space="preserve">кандидатства </w:t>
      </w:r>
      <w:r w:rsidR="00AC6F25" w:rsidRPr="00621B83">
        <w:t>по настоящата процедура</w:t>
      </w:r>
      <w:r w:rsidR="00B01D3C" w:rsidRPr="00621B83">
        <w:t>;</w:t>
      </w:r>
    </w:p>
    <w:p w14:paraId="46082089" w14:textId="77777777" w:rsidR="004A2B50" w:rsidRPr="00621B83" w:rsidRDefault="00223362" w:rsidP="00825CC1">
      <w:pPr>
        <w:numPr>
          <w:ilvl w:val="0"/>
          <w:numId w:val="10"/>
        </w:numPr>
        <w:ind w:left="709" w:hanging="349"/>
      </w:pPr>
      <w:r w:rsidRPr="00621B83">
        <w:lastRenderedPageBreak/>
        <w:t xml:space="preserve">Декларация, че </w:t>
      </w:r>
      <w:r w:rsidR="000612BA" w:rsidRPr="00621B83">
        <w:t xml:space="preserve">Кандидатът </w:t>
      </w:r>
      <w:r w:rsidRPr="00621B83">
        <w:t>е запознат с условията за кандидатстване, че ще бъде пряко отговорен за управлението и изпълнението на дейностите по проекта, за удостоверяване на идентичността на двата езика и за участие на консултанти при подготовката на проектното предложение</w:t>
      </w:r>
      <w:r w:rsidR="00B01D3C" w:rsidRPr="00621B83">
        <w:t>;</w:t>
      </w:r>
    </w:p>
    <w:p w14:paraId="40D51158" w14:textId="247C4EA2" w:rsidR="00B01D3C" w:rsidRPr="00621B83" w:rsidRDefault="00DF1429" w:rsidP="0080399C">
      <w:pPr>
        <w:numPr>
          <w:ilvl w:val="0"/>
          <w:numId w:val="10"/>
        </w:numPr>
        <w:ind w:left="709" w:hanging="349"/>
      </w:pPr>
      <w:r>
        <w:t>Д</w:t>
      </w:r>
      <w:r w:rsidRPr="00621B83">
        <w:t xml:space="preserve">екларация </w:t>
      </w:r>
      <w:r w:rsidR="00B01D3C" w:rsidRPr="00621B83">
        <w:t>за липса на основания за недопустимост</w:t>
      </w:r>
      <w:r w:rsidR="00EB386B"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9F4C29" w:rsidRPr="00983251" w14:paraId="53510E8C"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469D966" w14:textId="77777777" w:rsidR="009F4C29" w:rsidRPr="00621B83" w:rsidRDefault="009F4C29" w:rsidP="0075505C">
            <w:pPr>
              <w:rPr>
                <w:b/>
              </w:rPr>
            </w:pPr>
            <w:r w:rsidRPr="00621B83">
              <w:rPr>
                <w:b/>
              </w:rPr>
              <w:t>ВАЖНО!</w:t>
            </w:r>
          </w:p>
          <w:p w14:paraId="5BC5EE3A" w14:textId="77777777" w:rsidR="009F4C29" w:rsidRPr="00621B83" w:rsidRDefault="00B01D3C" w:rsidP="002C73C2">
            <w:pPr>
              <w:rPr>
                <w:b/>
              </w:rPr>
            </w:pPr>
            <w:r w:rsidRPr="00621B83">
              <w:rPr>
                <w:b/>
              </w:rPr>
              <w:t>На етап подаване на проектн</w:t>
            </w:r>
            <w:r w:rsidR="00606C95" w:rsidRPr="00621B83">
              <w:rPr>
                <w:b/>
              </w:rPr>
              <w:t>о</w:t>
            </w:r>
            <w:r w:rsidRPr="00621B83">
              <w:rPr>
                <w:b/>
              </w:rPr>
              <w:t xml:space="preserve"> предложение </w:t>
            </w:r>
            <w:r w:rsidR="007E4657" w:rsidRPr="00621B83">
              <w:rPr>
                <w:b/>
              </w:rPr>
              <w:t xml:space="preserve">Кандидатът </w:t>
            </w:r>
            <w:r w:rsidRPr="00621B83">
              <w:rPr>
                <w:b/>
              </w:rPr>
              <w:t xml:space="preserve">представя </w:t>
            </w:r>
            <w:r w:rsidR="00446BE3" w:rsidRPr="00621B83">
              <w:rPr>
                <w:b/>
              </w:rPr>
              <w:t xml:space="preserve">декларация </w:t>
            </w:r>
            <w:r w:rsidRPr="00621B83">
              <w:rPr>
                <w:b/>
              </w:rPr>
              <w:t>за липса на основания за недопустимост</w:t>
            </w:r>
            <w:r w:rsidR="00915DB7" w:rsidRPr="00621B83">
              <w:rPr>
                <w:b/>
              </w:rPr>
              <w:t xml:space="preserve"> по т. 8.2.</w:t>
            </w:r>
            <w:r w:rsidR="00A81A21" w:rsidRPr="00621B83">
              <w:rPr>
                <w:b/>
              </w:rPr>
              <w:t xml:space="preserve"> от настоящите Насоки</w:t>
            </w:r>
            <w:r w:rsidRPr="00621B83">
              <w:rPr>
                <w:b/>
              </w:rPr>
              <w:t xml:space="preserve">, а в случай че подаденият от </w:t>
            </w:r>
            <w:r w:rsidR="007E4657" w:rsidRPr="00621B83">
              <w:rPr>
                <w:b/>
              </w:rPr>
              <w:t xml:space="preserve">Кандидата </w:t>
            </w:r>
            <w:r w:rsidRPr="00621B83">
              <w:rPr>
                <w:b/>
              </w:rPr>
              <w:t>проект бъде одобрен за финансиране преди подписването на договор за БФП</w:t>
            </w:r>
            <w:r w:rsidR="00BF1224" w:rsidRPr="00621B83">
              <w:rPr>
                <w:b/>
              </w:rPr>
              <w:t xml:space="preserve"> се извършва </w:t>
            </w:r>
            <w:r w:rsidR="00052F5E" w:rsidRPr="00621B83">
              <w:rPr>
                <w:b/>
              </w:rPr>
              <w:t>проверка</w:t>
            </w:r>
            <w:r w:rsidRPr="00621B83">
              <w:rPr>
                <w:b/>
              </w:rPr>
              <w:t xml:space="preserve"> </w:t>
            </w:r>
            <w:r w:rsidR="00052F5E" w:rsidRPr="00621B83">
              <w:rPr>
                <w:b/>
              </w:rPr>
              <w:t>за установяване на тези обстоятелства</w:t>
            </w:r>
            <w:r w:rsidRPr="00621B83">
              <w:rPr>
                <w:b/>
              </w:rPr>
              <w:t>.</w:t>
            </w:r>
          </w:p>
        </w:tc>
      </w:tr>
    </w:tbl>
    <w:p w14:paraId="67A7E4C7" w14:textId="77777777" w:rsidR="00AC3D27" w:rsidRPr="00621B83" w:rsidRDefault="009C78AF" w:rsidP="0054168A">
      <w:pPr>
        <w:pStyle w:val="Heading1"/>
      </w:pPr>
      <w:bookmarkStart w:id="21" w:name="_Toc24983833"/>
      <w:r w:rsidRPr="00621B83">
        <w:t>ДОПУСТИМИ ПАРТНЬОРИ</w:t>
      </w:r>
      <w:bookmarkEnd w:id="21"/>
    </w:p>
    <w:p w14:paraId="2F0090EB" w14:textId="77777777" w:rsidR="00D021A0" w:rsidRPr="00716C51" w:rsidRDefault="00D021A0" w:rsidP="00C021CC">
      <w:pPr>
        <w:pStyle w:val="Heading2"/>
        <w:numPr>
          <w:ilvl w:val="1"/>
          <w:numId w:val="41"/>
        </w:numPr>
      </w:pPr>
      <w:bookmarkStart w:id="22" w:name="_Toc24983834"/>
      <w:r w:rsidRPr="00716C51">
        <w:t xml:space="preserve">КРИТЕРИИ ЗА ДОПУСТИМОСТ НА </w:t>
      </w:r>
      <w:r w:rsidR="00E91BF7" w:rsidRPr="00716C51">
        <w:t>ПАРТНЬОРИТЕ</w:t>
      </w:r>
      <w:bookmarkEnd w:id="22"/>
    </w:p>
    <w:p w14:paraId="43C44D0E" w14:textId="77777777" w:rsidR="007A6899" w:rsidRPr="00621B83" w:rsidRDefault="00FC3ECA" w:rsidP="0080399C">
      <w:pPr>
        <w:numPr>
          <w:ilvl w:val="0"/>
          <w:numId w:val="10"/>
        </w:numPr>
        <w:ind w:left="709" w:hanging="349"/>
      </w:pPr>
      <w:r w:rsidRPr="00621B83">
        <w:t xml:space="preserve">Всяко частно или публично юридическо лице, както търговско, така и нетърговско, </w:t>
      </w:r>
      <w:r w:rsidR="00D457A5" w:rsidRPr="00621B83">
        <w:t>или неправителствен</w:t>
      </w:r>
      <w:r w:rsidR="00A371C7" w:rsidRPr="00621B83">
        <w:rPr>
          <w:lang w:val="en-US"/>
        </w:rPr>
        <w:t>a</w:t>
      </w:r>
      <w:r w:rsidR="00D457A5" w:rsidRPr="00621B83">
        <w:t xml:space="preserve"> организация, </w:t>
      </w:r>
      <w:r w:rsidRPr="00621B83">
        <w:t>регистрирано като юридическо лице в</w:t>
      </w:r>
      <w:r w:rsidR="009828BF" w:rsidRPr="00621B83">
        <w:t xml:space="preserve"> </w:t>
      </w:r>
      <w:r w:rsidR="00F24F75" w:rsidRPr="00621B83">
        <w:t>страните-</w:t>
      </w:r>
      <w:r w:rsidR="007A6899" w:rsidRPr="00621B83">
        <w:t xml:space="preserve">донори, </w:t>
      </w:r>
      <w:r w:rsidR="006012CD" w:rsidRPr="00621B83">
        <w:t xml:space="preserve">Република </w:t>
      </w:r>
      <w:r w:rsidR="009828BF" w:rsidRPr="00621B83">
        <w:t>България</w:t>
      </w:r>
      <w:r w:rsidR="00D457A5" w:rsidRPr="00621B83">
        <w:t>, страните-бенефициенти</w:t>
      </w:r>
      <w:r w:rsidR="007A6899" w:rsidRPr="00621B83">
        <w:t xml:space="preserve"> или държава извън Европейското икономическо пространство, която има обща граница с</w:t>
      </w:r>
      <w:r w:rsidR="00D457A5" w:rsidRPr="00621B83">
        <w:t xml:space="preserve"> Република България</w:t>
      </w:r>
      <w:r w:rsidR="007A6899" w:rsidRPr="00621B83">
        <w:t xml:space="preserve">, или която и да е международна организация или орган, или агенция на същата, която активно участва в изпълнението на проект и ефективно допринася за него, се считат за допустими проектни </w:t>
      </w:r>
      <w:r w:rsidR="00752590" w:rsidRPr="00621B83">
        <w:t>Партньори</w:t>
      </w:r>
      <w:r w:rsidR="007A6899" w:rsidRPr="00621B83">
        <w:t>.</w:t>
      </w:r>
    </w:p>
    <w:p w14:paraId="5CCCE914" w14:textId="77777777" w:rsidR="007518A5" w:rsidRPr="00621B83" w:rsidRDefault="00752590" w:rsidP="0080399C">
      <w:pPr>
        <w:numPr>
          <w:ilvl w:val="0"/>
          <w:numId w:val="10"/>
        </w:numPr>
        <w:ind w:left="709" w:hanging="349"/>
      </w:pPr>
      <w:r w:rsidRPr="00621B83">
        <w:t>Партньор</w:t>
      </w:r>
      <w:r w:rsidR="008E6BDF" w:rsidRPr="00621B83">
        <w:t>ът</w:t>
      </w:r>
      <w:r w:rsidRPr="00621B83">
        <w:t xml:space="preserve"> </w:t>
      </w:r>
      <w:r w:rsidR="007518A5" w:rsidRPr="00621B83">
        <w:t xml:space="preserve">трябва да </w:t>
      </w:r>
      <w:r w:rsidR="008E6BDF" w:rsidRPr="00621B83">
        <w:t>притежава опит или експертиза в</w:t>
      </w:r>
      <w:r w:rsidR="007518A5" w:rsidRPr="00621B83">
        <w:t xml:space="preserve"> </w:t>
      </w:r>
      <w:r w:rsidR="00DC02E7" w:rsidRPr="00621B83">
        <w:t>изпълнение</w:t>
      </w:r>
      <w:r w:rsidR="008E6BDF" w:rsidRPr="00621B83">
        <w:t>то</w:t>
      </w:r>
      <w:r w:rsidR="00DC02E7" w:rsidRPr="00621B83">
        <w:t xml:space="preserve"> на</w:t>
      </w:r>
      <w:r w:rsidR="00335240" w:rsidRPr="00621B83">
        <w:t xml:space="preserve"> </w:t>
      </w:r>
      <w:r w:rsidR="007518A5" w:rsidRPr="00621B83">
        <w:t>дейности</w:t>
      </w:r>
      <w:r w:rsidR="004D6DCC" w:rsidRPr="00621B83">
        <w:t xml:space="preserve"> по енергийна ефективност</w:t>
      </w:r>
      <w:r w:rsidR="00533D35" w:rsidRPr="00621B83">
        <w:t>.</w:t>
      </w:r>
    </w:p>
    <w:p w14:paraId="3C1679AF" w14:textId="77777777" w:rsidR="008A1AB5" w:rsidRPr="00621B83" w:rsidRDefault="008A1AB5" w:rsidP="0080399C">
      <w:pPr>
        <w:numPr>
          <w:ilvl w:val="0"/>
          <w:numId w:val="10"/>
        </w:numPr>
        <w:ind w:left="709" w:hanging="349"/>
      </w:pPr>
      <w:r w:rsidRPr="00621B83">
        <w:t>Когато</w:t>
      </w:r>
      <w:r w:rsidR="007518A5" w:rsidRPr="00621B83">
        <w:t xml:space="preserve"> </w:t>
      </w:r>
      <w:r w:rsidR="00752590" w:rsidRPr="00621B83">
        <w:t xml:space="preserve">Кандидатът </w:t>
      </w:r>
      <w:r w:rsidR="007518A5" w:rsidRPr="00621B83">
        <w:t xml:space="preserve">има един или повече </w:t>
      </w:r>
      <w:r w:rsidR="00752590" w:rsidRPr="00621B83">
        <w:t>Партньори</w:t>
      </w:r>
      <w:r w:rsidR="007518A5" w:rsidRPr="00621B83">
        <w:t xml:space="preserve">, трябва да се сключи споразумение, в което са посочени ролите и отговорностите на отделните </w:t>
      </w:r>
      <w:r w:rsidR="00752590" w:rsidRPr="00621B83">
        <w:t>Партньори</w:t>
      </w:r>
      <w:r w:rsidR="00606C95" w:rsidRPr="00621B83">
        <w:t xml:space="preserve">. На етап подаване на проектно предложение </w:t>
      </w:r>
      <w:r w:rsidR="00752590" w:rsidRPr="00621B83">
        <w:t xml:space="preserve">Кандидатът </w:t>
      </w:r>
      <w:r w:rsidR="00606C95" w:rsidRPr="00621B83">
        <w:t>представя споразумение</w:t>
      </w:r>
      <w:r w:rsidR="00682658" w:rsidRPr="00621B83">
        <w:t>/</w:t>
      </w:r>
      <w:r w:rsidR="00606C95" w:rsidRPr="00621B83">
        <w:t xml:space="preserve"> проект на споразумение</w:t>
      </w:r>
      <w:r w:rsidR="00682658" w:rsidRPr="00621B83">
        <w:t>/</w:t>
      </w:r>
      <w:r w:rsidR="00606C95" w:rsidRPr="00621B83">
        <w:t xml:space="preserve">писмо за намерение от бъдещия </w:t>
      </w:r>
      <w:r w:rsidR="00752590" w:rsidRPr="00621B83">
        <w:t>Партньор</w:t>
      </w:r>
      <w:r w:rsidR="00682658" w:rsidRPr="00621B83">
        <w:t>. В</w:t>
      </w:r>
      <w:r w:rsidR="00606C95" w:rsidRPr="00621B83">
        <w:t xml:space="preserve"> случай че подаденият от </w:t>
      </w:r>
      <w:r w:rsidR="00696B3A" w:rsidRPr="00621B83">
        <w:t>К</w:t>
      </w:r>
      <w:r w:rsidR="00606C95" w:rsidRPr="00621B83">
        <w:t xml:space="preserve">андидата проект бъде одобрен за финансиране преди подписването на договор за БФП </w:t>
      </w:r>
      <w:r w:rsidR="00752590" w:rsidRPr="00621B83">
        <w:t xml:space="preserve">Кандидатът </w:t>
      </w:r>
      <w:r w:rsidR="00924D46" w:rsidRPr="00621B83">
        <w:t>трябва да представи</w:t>
      </w:r>
      <w:r w:rsidR="00564784" w:rsidRPr="00621B83">
        <w:t xml:space="preserve"> споразумение за партньорство</w:t>
      </w:r>
      <w:r w:rsidR="007518A5" w:rsidRPr="00621B83">
        <w:t>. Към настоящата покана е приложен образец на споразумение</w:t>
      </w:r>
      <w:r w:rsidR="00F24F75" w:rsidRPr="00621B83">
        <w:t xml:space="preserve"> </w:t>
      </w:r>
      <w:r w:rsidR="00917D02" w:rsidRPr="00621B83">
        <w:t xml:space="preserve">за партньорство </w:t>
      </w:r>
      <w:r w:rsidR="00F24F75" w:rsidRPr="00621B83">
        <w:t xml:space="preserve">(Приложение </w:t>
      </w:r>
      <w:r w:rsidR="0056579D" w:rsidRPr="00621B83">
        <w:rPr>
          <w:lang w:val="en-US"/>
        </w:rPr>
        <w:t>O</w:t>
      </w:r>
      <w:r w:rsidR="00F24F75" w:rsidRPr="00621B83">
        <w:t>)</w:t>
      </w:r>
      <w:r w:rsidR="007518A5"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6C3455" w:rsidRPr="00983251" w14:paraId="64931C85"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45470B1C" w14:textId="77777777" w:rsidR="006C3455" w:rsidRPr="00621B83" w:rsidRDefault="006C3455" w:rsidP="00152388">
            <w:pPr>
              <w:rPr>
                <w:b/>
              </w:rPr>
            </w:pPr>
            <w:r w:rsidRPr="00621B83">
              <w:rPr>
                <w:b/>
              </w:rPr>
              <w:t>ВАЖНО!</w:t>
            </w:r>
          </w:p>
          <w:p w14:paraId="51821786" w14:textId="77777777" w:rsidR="006C3455" w:rsidRPr="00621B83" w:rsidRDefault="006C3455" w:rsidP="006C3455">
            <w:pPr>
              <w:rPr>
                <w:b/>
              </w:rPr>
            </w:pPr>
            <w:r w:rsidRPr="00621B83">
              <w:rPr>
                <w:b/>
              </w:rPr>
              <w:t>Няма ограничение за</w:t>
            </w:r>
            <w:r w:rsidR="002C73C2" w:rsidRPr="00621B83">
              <w:rPr>
                <w:b/>
              </w:rPr>
              <w:t xml:space="preserve"> броя на</w:t>
            </w:r>
            <w:r w:rsidRPr="00621B83">
              <w:rPr>
                <w:b/>
              </w:rPr>
              <w:t xml:space="preserve"> </w:t>
            </w:r>
            <w:r w:rsidR="006034FC" w:rsidRPr="00621B83">
              <w:rPr>
                <w:b/>
              </w:rPr>
              <w:t>Партньорите</w:t>
            </w:r>
            <w:r w:rsidRPr="00621B83">
              <w:rPr>
                <w:b/>
              </w:rPr>
              <w:t>.</w:t>
            </w:r>
          </w:p>
          <w:p w14:paraId="06CD4E2B" w14:textId="77777777" w:rsidR="00656707" w:rsidRPr="00621B83" w:rsidRDefault="006C3455" w:rsidP="00656707">
            <w:pPr>
              <w:rPr>
                <w:b/>
              </w:rPr>
            </w:pPr>
            <w:r w:rsidRPr="00621B83">
              <w:rPr>
                <w:b/>
              </w:rPr>
              <w:t xml:space="preserve">Броят на </w:t>
            </w:r>
            <w:r w:rsidR="006034FC" w:rsidRPr="00621B83">
              <w:rPr>
                <w:b/>
              </w:rPr>
              <w:t xml:space="preserve">Партньорите </w:t>
            </w:r>
            <w:r w:rsidRPr="00621B83">
              <w:rPr>
                <w:b/>
              </w:rPr>
              <w:t>не се отразява на</w:t>
            </w:r>
            <w:r w:rsidR="00656707" w:rsidRPr="00621B83">
              <w:rPr>
                <w:b/>
              </w:rPr>
              <w:t xml:space="preserve"> оценката на проектното предложение.</w:t>
            </w:r>
          </w:p>
          <w:p w14:paraId="0D3C7CF9" w14:textId="77777777" w:rsidR="006C3455" w:rsidRPr="00621B83" w:rsidRDefault="00056FB2" w:rsidP="005661BD">
            <w:pPr>
              <w:rPr>
                <w:b/>
              </w:rPr>
            </w:pPr>
            <w:r w:rsidRPr="00621B83">
              <w:rPr>
                <w:b/>
              </w:rPr>
              <w:t>Допълнителни</w:t>
            </w:r>
            <w:r w:rsidR="00656707" w:rsidRPr="00621B83">
              <w:rPr>
                <w:b/>
              </w:rPr>
              <w:t xml:space="preserve"> точки се дават</w:t>
            </w:r>
            <w:r w:rsidR="006C3455" w:rsidRPr="00621B83">
              <w:rPr>
                <w:b/>
              </w:rPr>
              <w:t xml:space="preserve"> </w:t>
            </w:r>
            <w:r w:rsidR="00656707" w:rsidRPr="00621B83">
              <w:rPr>
                <w:b/>
              </w:rPr>
              <w:t>при</w:t>
            </w:r>
            <w:r w:rsidR="006C3455" w:rsidRPr="00621B83">
              <w:rPr>
                <w:b/>
              </w:rPr>
              <w:t xml:space="preserve"> </w:t>
            </w:r>
            <w:r w:rsidR="006034FC" w:rsidRPr="00621B83">
              <w:rPr>
                <w:b/>
              </w:rPr>
              <w:t xml:space="preserve">Партньор </w:t>
            </w:r>
            <w:r w:rsidR="006C3455" w:rsidRPr="00621B83">
              <w:rPr>
                <w:b/>
              </w:rPr>
              <w:t>от стран</w:t>
            </w:r>
            <w:r w:rsidR="005661BD" w:rsidRPr="00621B83">
              <w:rPr>
                <w:b/>
              </w:rPr>
              <w:t>а</w:t>
            </w:r>
            <w:r w:rsidR="006C3455" w:rsidRPr="00621B83">
              <w:rPr>
                <w:b/>
              </w:rPr>
              <w:t>-донор.</w:t>
            </w:r>
          </w:p>
        </w:tc>
      </w:tr>
    </w:tbl>
    <w:p w14:paraId="7AB9FFC4" w14:textId="77777777" w:rsidR="006C3455" w:rsidRPr="00621B83" w:rsidRDefault="003248AE" w:rsidP="004D2EA1">
      <w:pPr>
        <w:rPr>
          <w:color w:val="000000"/>
        </w:rPr>
      </w:pPr>
      <w:bookmarkStart w:id="23" w:name="_Toc383116500"/>
      <w:bookmarkStart w:id="24" w:name="_Toc383116239"/>
      <w:r w:rsidRPr="00621B83">
        <w:t>Партньор</w:t>
      </w:r>
      <w:r w:rsidR="008D2E97" w:rsidRPr="00621B83">
        <w:t>ът</w:t>
      </w:r>
      <w:r w:rsidR="000F380D" w:rsidRPr="00621B83">
        <w:t xml:space="preserve"> участва </w:t>
      </w:r>
      <w:r w:rsidR="00B815C3" w:rsidRPr="00621B83">
        <w:t>и ефективно допринася за изпълнението на проекта за постигане заедно с Кандидата на обща икономическа или социална задача</w:t>
      </w:r>
      <w:r w:rsidRPr="00621B83">
        <w:t xml:space="preserve"> и не е изпълнител на </w:t>
      </w:r>
      <w:r w:rsidR="008D2E97" w:rsidRPr="00621B83">
        <w:t xml:space="preserve">дейност по проекта, която </w:t>
      </w:r>
      <w:r w:rsidR="00696B3A" w:rsidRPr="00621B83">
        <w:t xml:space="preserve">Кандидатът </w:t>
      </w:r>
      <w:r w:rsidRPr="00621B83">
        <w:t>възлага</w:t>
      </w:r>
      <w:bookmarkEnd w:id="23"/>
      <w:bookmarkEnd w:id="24"/>
      <w:r w:rsidR="00C06B99" w:rsidRPr="00621B83">
        <w:t xml:space="preserve"> по реда на </w:t>
      </w:r>
      <w:r w:rsidR="006034FC" w:rsidRPr="00621B83">
        <w:t>Закон за обществените поръчки (</w:t>
      </w:r>
      <w:r w:rsidR="00C06B99" w:rsidRPr="00621B83">
        <w:t>ЗОП</w:t>
      </w:r>
      <w:r w:rsidR="006034FC" w:rsidRPr="00621B83">
        <w:t>)</w:t>
      </w:r>
      <w:r w:rsidR="008D2E97" w:rsidRPr="00621B83">
        <w:t>.</w:t>
      </w:r>
    </w:p>
    <w:p w14:paraId="4C960028" w14:textId="77777777" w:rsidR="003248AE" w:rsidRPr="00621B83" w:rsidRDefault="003248AE" w:rsidP="004D2EA1"/>
    <w:p w14:paraId="3190E569" w14:textId="77777777" w:rsidR="00D021A0" w:rsidRPr="00716C51" w:rsidRDefault="00D021A0" w:rsidP="00C021CC">
      <w:pPr>
        <w:pStyle w:val="Heading2"/>
        <w:numPr>
          <w:ilvl w:val="1"/>
          <w:numId w:val="41"/>
        </w:numPr>
      </w:pPr>
      <w:bookmarkStart w:id="25" w:name="_Toc24983835"/>
      <w:r w:rsidRPr="00716C51">
        <w:lastRenderedPageBreak/>
        <w:t>КРИТЕРИИ ЗА НЕДОПУСТИМОСТ НА ПАРТН</w:t>
      </w:r>
      <w:r w:rsidR="00E52D9D" w:rsidRPr="00716C51">
        <w:t>ЬОРИТЕ</w:t>
      </w:r>
      <w:bookmarkEnd w:id="25"/>
    </w:p>
    <w:p w14:paraId="1EBDAFAF" w14:textId="77777777" w:rsidR="00E52D9D" w:rsidRPr="00621B83" w:rsidRDefault="00E52D9D" w:rsidP="00E52D9D">
      <w:r w:rsidRPr="00621B83">
        <w:t xml:space="preserve">Не се допускат за финансиране </w:t>
      </w:r>
      <w:r w:rsidR="006034FC" w:rsidRPr="00621B83">
        <w:t>Кандидати</w:t>
      </w:r>
      <w:r w:rsidRPr="00621B83">
        <w:t xml:space="preserve">, когато </w:t>
      </w:r>
      <w:r w:rsidR="006034FC" w:rsidRPr="00621B83">
        <w:t>Партньорите</w:t>
      </w:r>
      <w:r w:rsidRPr="00621B83">
        <w:t>:</w:t>
      </w:r>
    </w:p>
    <w:p w14:paraId="6E098B70" w14:textId="77777777" w:rsidR="00E52D9D" w:rsidRPr="00621B83" w:rsidRDefault="00E52D9D" w:rsidP="002C0FD9">
      <w:pPr>
        <w:numPr>
          <w:ilvl w:val="0"/>
          <w:numId w:val="10"/>
        </w:numPr>
        <w:ind w:left="709" w:hanging="349"/>
      </w:pPr>
      <w:r w:rsidRPr="00621B83">
        <w:t>са предприятия в затруднено положение (определението на „предприятия в затруднено положение” е посочено в член 2, алинея 18 от Регламент (ЕС) № 651/2014 на Комисията за обявяване на някои категории помощи за съвместими с вътрешния пазар в приложение на членове 107 и 108 от Договора);</w:t>
      </w:r>
    </w:p>
    <w:p w14:paraId="7F3730BC" w14:textId="77777777" w:rsidR="002C0FD9" w:rsidRPr="00621B83" w:rsidRDefault="00E52D9D" w:rsidP="002C0FD9">
      <w:pPr>
        <w:numPr>
          <w:ilvl w:val="0"/>
          <w:numId w:val="10"/>
        </w:numPr>
        <w:ind w:left="709" w:hanging="349"/>
      </w:pPr>
      <w:r w:rsidRPr="00621B83">
        <w:t xml:space="preserve">са обявили фалит, са в производство по несъстоятелност или се намират в ликвидация; </w:t>
      </w:r>
    </w:p>
    <w:p w14:paraId="03558F9E" w14:textId="77777777" w:rsidR="00E52D9D" w:rsidRPr="00621B83" w:rsidRDefault="00E52D9D" w:rsidP="002C0FD9">
      <w:pPr>
        <w:numPr>
          <w:ilvl w:val="0"/>
          <w:numId w:val="10"/>
        </w:numPr>
        <w:ind w:left="709" w:hanging="349"/>
      </w:pPr>
      <w:r w:rsidRPr="00621B83">
        <w:t>са преустановили дейността си, са предмет на производство във връзка с дейността си или се намират в каквото и да е сходно положение, произтичащо от сходна процедура по силата на националното им законодателство;</w:t>
      </w:r>
    </w:p>
    <w:p w14:paraId="0473427F" w14:textId="77777777" w:rsidR="00E52D9D" w:rsidRPr="00621B83" w:rsidRDefault="00B439A0" w:rsidP="002C0FD9">
      <w:pPr>
        <w:numPr>
          <w:ilvl w:val="0"/>
          <w:numId w:val="10"/>
        </w:numPr>
        <w:ind w:left="709" w:hanging="349"/>
      </w:pPr>
      <w:r w:rsidRPr="00621B83">
        <w:t xml:space="preserve">чиито представляващи </w:t>
      </w:r>
      <w:r w:rsidR="00E52D9D" w:rsidRPr="00621B83">
        <w:t>са осъдени с влязла в сила присъда за измама, корупция, участие в престъпна организация или всякаква друга незаконна дейност, накърняваща финансовите интереси, без да има доказателства, че са предприети мерки за коригиране през последните години;</w:t>
      </w:r>
    </w:p>
    <w:p w14:paraId="54CAA80D" w14:textId="77777777" w:rsidR="00D021A0" w:rsidRPr="00621B83" w:rsidRDefault="00D021A0" w:rsidP="002C0FD9">
      <w:pPr>
        <w:numPr>
          <w:ilvl w:val="0"/>
          <w:numId w:val="10"/>
        </w:numPr>
        <w:ind w:left="709" w:hanging="349"/>
      </w:pPr>
      <w:r w:rsidRPr="00621B83">
        <w:t>има</w:t>
      </w:r>
      <w:r w:rsidR="00E52D9D" w:rsidRPr="00621B83">
        <w:t>т</w:t>
      </w:r>
      <w:r w:rsidRPr="00621B83">
        <w:t xml:space="preserve"> неизпълнено разпореждане на Европейската комисия за възстановяване на предоставената им неправомерна и несъвместима държавна помощ.</w:t>
      </w:r>
    </w:p>
    <w:p w14:paraId="7D9DD11D" w14:textId="77777777" w:rsidR="002C0FD9" w:rsidRPr="00621B83" w:rsidRDefault="002C0FD9" w:rsidP="002C0FD9">
      <w:pPr>
        <w:ind w:left="709"/>
      </w:pPr>
    </w:p>
    <w:p w14:paraId="2A6C2FEF" w14:textId="77777777" w:rsidR="00D7661B" w:rsidRPr="00716C51" w:rsidRDefault="00D7661B" w:rsidP="00C021CC">
      <w:pPr>
        <w:pStyle w:val="Heading2"/>
      </w:pPr>
      <w:bookmarkStart w:id="26" w:name="_Toc24983836"/>
      <w:r w:rsidRPr="00716C51">
        <w:t>ДОКАЗАТЕЛСТВА ЗА УСТАНОВЯВАНЕ НА ДОПУСТИМОСТ</w:t>
      </w:r>
      <w:bookmarkEnd w:id="26"/>
    </w:p>
    <w:p w14:paraId="1377BAF8" w14:textId="77777777" w:rsidR="00D7661B" w:rsidRPr="00621B83" w:rsidRDefault="00901602" w:rsidP="00583E2B">
      <w:r w:rsidRPr="00621B83">
        <w:t xml:space="preserve">За установяване допустимостта на </w:t>
      </w:r>
      <w:r w:rsidR="00A371C7" w:rsidRPr="00621B83">
        <w:t xml:space="preserve">всеки от </w:t>
      </w:r>
      <w:r w:rsidR="00130008" w:rsidRPr="00621B83">
        <w:t>Партньорите</w:t>
      </w:r>
      <w:r w:rsidRPr="00621B83">
        <w:t xml:space="preserve">, </w:t>
      </w:r>
      <w:r w:rsidR="00D90BE3" w:rsidRPr="00621B83">
        <w:t xml:space="preserve">Кандидатът </w:t>
      </w:r>
      <w:r w:rsidR="00D7661B" w:rsidRPr="00621B83">
        <w:t>трябва да представи:</w:t>
      </w:r>
    </w:p>
    <w:p w14:paraId="734C7915" w14:textId="77777777" w:rsidR="00D7661B" w:rsidRPr="00621B83" w:rsidRDefault="002C0FD9" w:rsidP="002C0FD9">
      <w:pPr>
        <w:numPr>
          <w:ilvl w:val="0"/>
          <w:numId w:val="10"/>
        </w:numPr>
        <w:ind w:left="709" w:hanging="349"/>
      </w:pPr>
      <w:r w:rsidRPr="00621B83">
        <w:t>Р</w:t>
      </w:r>
      <w:r w:rsidR="00D7661B" w:rsidRPr="00621B83">
        <w:t xml:space="preserve">ешение на Общинския съвет за </w:t>
      </w:r>
      <w:r w:rsidR="006F73DF" w:rsidRPr="00621B83">
        <w:t xml:space="preserve">даване на </w:t>
      </w:r>
      <w:r w:rsidR="00691C07" w:rsidRPr="00621B83">
        <w:t>съгласие за</w:t>
      </w:r>
      <w:r w:rsidR="00901602" w:rsidRPr="00621B83">
        <w:t xml:space="preserve"> общинско сътрудничество с Партньора</w:t>
      </w:r>
      <w:r w:rsidR="00691C07" w:rsidRPr="00621B83">
        <w:t>/и;</w:t>
      </w:r>
    </w:p>
    <w:p w14:paraId="57CE1549" w14:textId="77777777" w:rsidR="00AE7D42" w:rsidRPr="00621B83" w:rsidRDefault="00AE7D42" w:rsidP="002C0FD9">
      <w:pPr>
        <w:numPr>
          <w:ilvl w:val="0"/>
          <w:numId w:val="10"/>
        </w:numPr>
        <w:ind w:left="709" w:hanging="349"/>
      </w:pPr>
      <w:r w:rsidRPr="00621B83">
        <w:t>доказателства</w:t>
      </w:r>
      <w:r w:rsidR="00D7661B" w:rsidRPr="00621B83">
        <w:t xml:space="preserve">, че </w:t>
      </w:r>
      <w:r w:rsidR="00130008" w:rsidRPr="00621B83">
        <w:t>Партньор</w:t>
      </w:r>
      <w:r w:rsidR="00A371C7" w:rsidRPr="00621B83">
        <w:t>ът притежава опит или експертиза в</w:t>
      </w:r>
      <w:r w:rsidR="00130008" w:rsidRPr="00621B83">
        <w:t xml:space="preserve"> </w:t>
      </w:r>
      <w:r w:rsidR="00C63D0B" w:rsidRPr="00621B83">
        <w:t>изпълнение</w:t>
      </w:r>
      <w:r w:rsidR="00A371C7" w:rsidRPr="00621B83">
        <w:t>то</w:t>
      </w:r>
      <w:r w:rsidR="00C63D0B" w:rsidRPr="00621B83">
        <w:t xml:space="preserve"> на дейности по енергийна ефективност</w:t>
      </w:r>
      <w:r w:rsidRPr="00621B83">
        <w:t>;</w:t>
      </w:r>
    </w:p>
    <w:p w14:paraId="181378B3" w14:textId="77777777" w:rsidR="00D7661B" w:rsidRPr="00621B83" w:rsidRDefault="00A46BD0" w:rsidP="002C0FD9">
      <w:pPr>
        <w:numPr>
          <w:ilvl w:val="0"/>
          <w:numId w:val="10"/>
        </w:numPr>
        <w:ind w:left="709" w:hanging="349"/>
      </w:pPr>
      <w:r w:rsidRPr="00621B83">
        <w:t>доказателства</w:t>
      </w:r>
      <w:r w:rsidR="00D7661B" w:rsidRPr="00621B83">
        <w:t xml:space="preserve"> за липса на основания за недопустимост от </w:t>
      </w:r>
      <w:r w:rsidR="00130008" w:rsidRPr="00621B83">
        <w:t>Партньора</w:t>
      </w:r>
      <w:r w:rsidR="00D7661B" w:rsidRPr="00621B83">
        <w:t>.</w:t>
      </w:r>
    </w:p>
    <w:p w14:paraId="3E0A2313" w14:textId="77777777" w:rsidR="00D7661B" w:rsidRPr="00716C51" w:rsidRDefault="00D7661B" w:rsidP="00D7661B">
      <w:pPr>
        <w:rPr>
          <w:lang w:eastAsia="ar-SA"/>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D7661B" w:rsidRPr="00983251" w14:paraId="6DB6B87C"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5F064A6" w14:textId="77777777" w:rsidR="00D7661B" w:rsidRPr="00621B83" w:rsidRDefault="00D7661B" w:rsidP="0075505C">
            <w:pPr>
              <w:rPr>
                <w:b/>
              </w:rPr>
            </w:pPr>
            <w:r w:rsidRPr="00621B83">
              <w:rPr>
                <w:b/>
              </w:rPr>
              <w:t>ВАЖНО!</w:t>
            </w:r>
          </w:p>
          <w:p w14:paraId="1251F87E" w14:textId="77777777" w:rsidR="00D7661B" w:rsidRPr="00621B83" w:rsidRDefault="00D7661B" w:rsidP="008A6BE4">
            <w:pPr>
              <w:rPr>
                <w:b/>
              </w:rPr>
            </w:pPr>
            <w:r w:rsidRPr="00621B83">
              <w:rPr>
                <w:b/>
              </w:rPr>
              <w:t xml:space="preserve">На етап подаване на проектно предложение </w:t>
            </w:r>
            <w:r w:rsidR="00130008" w:rsidRPr="00621B83">
              <w:rPr>
                <w:b/>
              </w:rPr>
              <w:t xml:space="preserve">Кандидатът </w:t>
            </w:r>
            <w:r w:rsidR="00DC02E7" w:rsidRPr="00621B83">
              <w:rPr>
                <w:b/>
              </w:rPr>
              <w:t xml:space="preserve">представя доказателства за допустимостта на </w:t>
            </w:r>
            <w:r w:rsidR="00130008" w:rsidRPr="00621B83">
              <w:rPr>
                <w:b/>
              </w:rPr>
              <w:t xml:space="preserve">Партньора </w:t>
            </w:r>
            <w:r w:rsidR="00DC02E7" w:rsidRPr="00621B83">
              <w:rPr>
                <w:b/>
              </w:rPr>
              <w:t xml:space="preserve">и декларация </w:t>
            </w:r>
            <w:r w:rsidR="0099093B" w:rsidRPr="00621B83">
              <w:rPr>
                <w:b/>
              </w:rPr>
              <w:t xml:space="preserve">за </w:t>
            </w:r>
            <w:r w:rsidRPr="00621B83">
              <w:rPr>
                <w:b/>
              </w:rPr>
              <w:t xml:space="preserve">липса на основания за недопустимост, а в случай че подаденият от </w:t>
            </w:r>
            <w:r w:rsidR="00130008" w:rsidRPr="00621B83">
              <w:rPr>
                <w:b/>
              </w:rPr>
              <w:t xml:space="preserve">Кандидата </w:t>
            </w:r>
            <w:r w:rsidRPr="00621B83">
              <w:rPr>
                <w:b/>
              </w:rPr>
              <w:t xml:space="preserve">проект бъде одобрен за финансиране преди подписването на договор за БФП – официални документи за установяване на </w:t>
            </w:r>
            <w:r w:rsidR="000D0726" w:rsidRPr="00621B83">
              <w:rPr>
                <w:b/>
              </w:rPr>
              <w:t xml:space="preserve">липсата на основания за недопустимост. Когато е приложимо, </w:t>
            </w:r>
            <w:r w:rsidR="008A6BE4" w:rsidRPr="00621B83">
              <w:rPr>
                <w:b/>
              </w:rPr>
              <w:t>ПО</w:t>
            </w:r>
            <w:r w:rsidR="000D0726" w:rsidRPr="00621B83">
              <w:rPr>
                <w:b/>
              </w:rPr>
              <w:t xml:space="preserve"> извършва</w:t>
            </w:r>
            <w:r w:rsidR="001E0828" w:rsidRPr="00621B83">
              <w:rPr>
                <w:b/>
              </w:rPr>
              <w:t xml:space="preserve"> служебна проверка</w:t>
            </w:r>
            <w:r w:rsidRPr="00621B83">
              <w:rPr>
                <w:b/>
              </w:rPr>
              <w:t>.</w:t>
            </w:r>
          </w:p>
        </w:tc>
      </w:tr>
    </w:tbl>
    <w:p w14:paraId="15D06E87" w14:textId="2763FFAB" w:rsidR="00D021A0" w:rsidRPr="00621B83" w:rsidRDefault="00D021A0" w:rsidP="0099093B">
      <w:pPr>
        <w:ind w:left="720"/>
      </w:pPr>
    </w:p>
    <w:p w14:paraId="782CDFB8" w14:textId="77777777" w:rsidR="006E53FF" w:rsidRPr="00621B83" w:rsidRDefault="006E53FF" w:rsidP="006E53FF">
      <w:pPr>
        <w:pStyle w:val="Heading1"/>
      </w:pPr>
      <w:bookmarkStart w:id="27" w:name="_Toc24983837"/>
      <w:r w:rsidRPr="00621B83">
        <w:t>ДОПУСТИМИ ПРОЕКТИ</w:t>
      </w:r>
      <w:bookmarkEnd w:id="27"/>
    </w:p>
    <w:p w14:paraId="6C8F9C43" w14:textId="77777777" w:rsidR="00987299" w:rsidRPr="00621B83" w:rsidRDefault="00987299" w:rsidP="00987299">
      <w:r w:rsidRPr="00621B83">
        <w:rPr>
          <w:b/>
          <w:u w:val="single"/>
        </w:rPr>
        <w:t>Определение:</w:t>
      </w:r>
      <w:r w:rsidRPr="00621B83">
        <w:t xml:space="preserve"> Всеки проект включва редица дейности, които следва да доведат до постигането на целите, заложени в настоящата покана за подаване на проектни предложения за предоставяне на </w:t>
      </w:r>
      <w:r w:rsidR="008A6BE4" w:rsidRPr="00621B83">
        <w:t>БФП</w:t>
      </w:r>
      <w:r w:rsidRPr="00621B83">
        <w:t>.</w:t>
      </w:r>
    </w:p>
    <w:p w14:paraId="5C6AB172" w14:textId="77777777" w:rsidR="00496CBD" w:rsidRPr="00621B83" w:rsidRDefault="00C44256" w:rsidP="00496CBD">
      <w:r w:rsidRPr="00621B83">
        <w:lastRenderedPageBreak/>
        <w:t xml:space="preserve">Проектът </w:t>
      </w:r>
      <w:r w:rsidR="0088156F" w:rsidRPr="00621B83">
        <w:t>следва да включва дейности, свързани с</w:t>
      </w:r>
      <w:r w:rsidR="000C426A" w:rsidRPr="00621B83">
        <w:rPr>
          <w:b/>
          <w:i/>
        </w:rPr>
        <w:t xml:space="preserve"> </w:t>
      </w:r>
      <w:r w:rsidR="00F848EE" w:rsidRPr="00621B83">
        <w:t xml:space="preserve">реконструкция </w:t>
      </w:r>
      <w:r w:rsidR="000C426A" w:rsidRPr="00621B83">
        <w:t>на система/и за външно изкуствено осветление на общин</w:t>
      </w:r>
      <w:r w:rsidR="007A6B3C" w:rsidRPr="00621B83">
        <w:t>ата</w:t>
      </w:r>
      <w:r w:rsidR="0070651B" w:rsidRPr="00621B83">
        <w:t>.</w:t>
      </w:r>
      <w:r w:rsidR="00496CBD" w:rsidRPr="00621B83">
        <w:t xml:space="preserve"> </w:t>
      </w:r>
    </w:p>
    <w:p w14:paraId="04264D0A" w14:textId="77777777" w:rsidR="008E6BDF" w:rsidRPr="00621B83" w:rsidRDefault="008A6BE4" w:rsidP="00496CBD">
      <w:r w:rsidRPr="00621B83">
        <w:t xml:space="preserve">Кандидатът </w:t>
      </w:r>
      <w:r w:rsidR="00496CBD" w:rsidRPr="00621B83">
        <w:t>следва да докаже, че</w:t>
      </w:r>
      <w:r w:rsidR="008E6BDF" w:rsidRPr="00621B83">
        <w:t>:</w:t>
      </w:r>
    </w:p>
    <w:p w14:paraId="4C663E51" w14:textId="77777777" w:rsidR="008E6BDF" w:rsidRPr="00621B83" w:rsidRDefault="008E6BDF" w:rsidP="00B62BA5">
      <w:pPr>
        <w:numPr>
          <w:ilvl w:val="0"/>
          <w:numId w:val="68"/>
        </w:numPr>
      </w:pPr>
      <w:r w:rsidRPr="00621B83">
        <w:t xml:space="preserve">Е собственик на системата/ите за външно изкуствено осветление като представи съответния документ </w:t>
      </w:r>
    </w:p>
    <w:p w14:paraId="0971806C" w14:textId="77777777" w:rsidR="008E6BDF" w:rsidRPr="00621B83" w:rsidRDefault="008E6BDF" w:rsidP="00B62BA5">
      <w:pPr>
        <w:ind w:left="790"/>
      </w:pPr>
      <w:r w:rsidRPr="00621B83">
        <w:t>И</w:t>
      </w:r>
    </w:p>
    <w:p w14:paraId="62585E4A" w14:textId="77777777" w:rsidR="00496CBD" w:rsidRPr="00621B83" w:rsidRDefault="008E6BDF" w:rsidP="00B62BA5">
      <w:pPr>
        <w:numPr>
          <w:ilvl w:val="0"/>
          <w:numId w:val="68"/>
        </w:numPr>
      </w:pPr>
      <w:r w:rsidRPr="00621B83">
        <w:t>С</w:t>
      </w:r>
      <w:r w:rsidR="00496CBD" w:rsidRPr="00621B83">
        <w:t>истемата/ите за външно изкуствено осветление е в имот/и - публична общинска собственост, като приложи акт за общинска собственост или декларация.</w:t>
      </w:r>
    </w:p>
    <w:p w14:paraId="7326196B" w14:textId="77777777" w:rsidR="004E3B30" w:rsidRPr="00621B83" w:rsidRDefault="004E3B30" w:rsidP="00496CBD">
      <w:r w:rsidRPr="00621B83">
        <w:t>По настоящата процедура са допустими само проекти, които са получили от Агенци</w:t>
      </w:r>
      <w:r w:rsidR="00CF5268" w:rsidRPr="00621B83">
        <w:t>я</w:t>
      </w:r>
      <w:r w:rsidRPr="00621B83">
        <w:t>та за устойчиво енергийно развитие</w:t>
      </w:r>
      <w:r w:rsidR="00B11F39" w:rsidRPr="00621B83">
        <w:t xml:space="preserve"> (АУЕР)</w:t>
      </w:r>
      <w:r w:rsidRPr="00621B83">
        <w:t xml:space="preserve"> Становище за съответствие с вписано одобрение на Доклада от обследването за енергийна ефективност. Становището за съответствие трябва да е издадено до крайният срок за подаване на проектни предложения</w:t>
      </w:r>
      <w:r w:rsidR="00D2625A" w:rsidRPr="00621B83">
        <w:t>, посочен в т. 16.3. от настоящите Насоки</w:t>
      </w:r>
      <w:r w:rsidRPr="00621B83">
        <w:t>.</w:t>
      </w:r>
    </w:p>
    <w:p w14:paraId="17AA043A" w14:textId="009F2F24" w:rsidR="004E3B30" w:rsidRPr="00621B83" w:rsidRDefault="00D2625A" w:rsidP="00496CBD">
      <w:r w:rsidRPr="00621B83">
        <w:t xml:space="preserve">Кандидат, който не </w:t>
      </w:r>
      <w:r w:rsidR="00A37DF7" w:rsidRPr="00621B83">
        <w:t xml:space="preserve">е </w:t>
      </w:r>
      <w:r w:rsidRPr="00621B83">
        <w:t>представи</w:t>
      </w:r>
      <w:r w:rsidR="00A37DF7" w:rsidRPr="00621B83">
        <w:t>л</w:t>
      </w:r>
      <w:r w:rsidRPr="00621B83">
        <w:t xml:space="preserve"> </w:t>
      </w:r>
      <w:r w:rsidR="00621A49" w:rsidRPr="00621B83">
        <w:t xml:space="preserve">към </w:t>
      </w:r>
      <w:r w:rsidR="001E79F2" w:rsidRPr="00621B83">
        <w:t xml:space="preserve">проектното </w:t>
      </w:r>
      <w:r w:rsidR="004E3B30" w:rsidRPr="00621B83">
        <w:t>предложени</w:t>
      </w:r>
      <w:r w:rsidR="001E79F2" w:rsidRPr="00621B83">
        <w:t>е</w:t>
      </w:r>
      <w:r w:rsidR="004E3B30" w:rsidRPr="00621B83">
        <w:t xml:space="preserve"> Становище за съответствие</w:t>
      </w:r>
      <w:r w:rsidR="004E3B30" w:rsidRPr="00716C51">
        <w:t xml:space="preserve"> </w:t>
      </w:r>
      <w:r w:rsidR="004E3B30" w:rsidRPr="00621B83">
        <w:t xml:space="preserve">с вписано одобрение на Доклада от обследването за енергийна ефективност се отстранява на етап оценка </w:t>
      </w:r>
      <w:r w:rsidR="00302696">
        <w:t>н</w:t>
      </w:r>
      <w:r w:rsidR="004E3B30" w:rsidRPr="00621B83">
        <w:t xml:space="preserve">а административното съответствие и допустимостта. </w:t>
      </w:r>
    </w:p>
    <w:p w14:paraId="7070DD57" w14:textId="75E01DC4" w:rsidR="00C44256" w:rsidRPr="00621B83" w:rsidRDefault="007346C6" w:rsidP="00987299">
      <w:r w:rsidRPr="00621B83">
        <w:t>Кандидат, който представи към п</w:t>
      </w:r>
      <w:r w:rsidR="004E3B30" w:rsidRPr="00621B83">
        <w:t>роектн</w:t>
      </w:r>
      <w:r w:rsidRPr="00621B83">
        <w:t>ото</w:t>
      </w:r>
      <w:r w:rsidR="004E3B30" w:rsidRPr="00621B83">
        <w:t xml:space="preserve"> предложени</w:t>
      </w:r>
      <w:r w:rsidR="00906586">
        <w:t>е</w:t>
      </w:r>
      <w:r w:rsidR="004E3B30" w:rsidRPr="00621B83">
        <w:t xml:space="preserve"> Становище за съответствие с вписано одобрение на Доклада от обследването за енергийна ефективност</w:t>
      </w:r>
      <w:r w:rsidR="008E6BDF" w:rsidRPr="00621B83">
        <w:t>, издадено след крайния срок за кандидатстване по настоящата покана,</w:t>
      </w:r>
      <w:r w:rsidR="004E3B30" w:rsidRPr="00621B83">
        <w:t xml:space="preserve"> посочен </w:t>
      </w:r>
      <w:r w:rsidRPr="00621B83">
        <w:t>в т. 16.3.</w:t>
      </w:r>
      <w:r w:rsidR="00E1382C" w:rsidRPr="00621B83">
        <w:t>,</w:t>
      </w:r>
      <w:r w:rsidRPr="00621B83">
        <w:t xml:space="preserve"> </w:t>
      </w:r>
      <w:r w:rsidR="004E3B30" w:rsidRPr="00621B83">
        <w:t xml:space="preserve">се отстранява на етап оценка </w:t>
      </w:r>
      <w:r w:rsidR="00302696">
        <w:t>н</w:t>
      </w:r>
      <w:r w:rsidR="004E3B30" w:rsidRPr="00621B83">
        <w:t>а административното съответствие и допустимостта.</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C44256" w:rsidRPr="00983251" w14:paraId="39F7A68B"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4E83C41" w14:textId="77777777" w:rsidR="00C44256" w:rsidRPr="00621B83" w:rsidRDefault="00C44256" w:rsidP="0075505C">
            <w:pPr>
              <w:rPr>
                <w:b/>
              </w:rPr>
            </w:pPr>
            <w:r w:rsidRPr="00621B83">
              <w:rPr>
                <w:b/>
              </w:rPr>
              <w:t>ВАЖНО!</w:t>
            </w:r>
          </w:p>
          <w:p w14:paraId="4C5C67F3" w14:textId="77777777" w:rsidR="00BB7BB7" w:rsidRPr="00621B83" w:rsidRDefault="00C44256" w:rsidP="00BB7BB7">
            <w:pPr>
              <w:rPr>
                <w:b/>
              </w:rPr>
            </w:pPr>
            <w:r w:rsidRPr="00621B83">
              <w:rPr>
                <w:b/>
                <w:color w:val="000000"/>
              </w:rPr>
              <w:t>По тази процедура „система за външно изкуствено осветление“ е съвкупност от съоръжения и мрежи за осигуряване на външно изкуствено осветление на имоти публична общинска собственост, разположени в отделно населено място или на обособена/и част/и от него на територията на съответната община.</w:t>
            </w:r>
            <w:r w:rsidR="00BB7BB7" w:rsidRPr="00621B83">
              <w:rPr>
                <w:b/>
              </w:rPr>
              <w:t xml:space="preserve"> </w:t>
            </w:r>
          </w:p>
          <w:p w14:paraId="100CA30E" w14:textId="77777777" w:rsidR="00BB7BB7" w:rsidRPr="00621B83" w:rsidRDefault="00BB7BB7" w:rsidP="00BB7BB7">
            <w:pPr>
              <w:rPr>
                <w:b/>
              </w:rPr>
            </w:pPr>
            <w:r w:rsidRPr="00621B83">
              <w:rPr>
                <w:b/>
              </w:rPr>
              <w:t>Всеки Кандидат може да подаде само едно проектно предложение по настоящата процедура.</w:t>
            </w:r>
          </w:p>
          <w:p w14:paraId="4FD81864" w14:textId="77777777" w:rsidR="00BB7BB7" w:rsidRPr="00621B83" w:rsidRDefault="00BB7BB7" w:rsidP="00BB7BB7">
            <w:pPr>
              <w:rPr>
                <w:b/>
              </w:rPr>
            </w:pPr>
            <w:r w:rsidRPr="00621B83">
              <w:rPr>
                <w:b/>
              </w:rPr>
              <w:t xml:space="preserve">Едно проектно предложение може да включва една или повече система/и за външно изкуствено осветление на общината, но отпуснатата БФП по този проект не може да е под минималния или да надвишава максималния размер за финансиране на проект по настоящата процедура. </w:t>
            </w:r>
          </w:p>
          <w:p w14:paraId="302C9908" w14:textId="65548505" w:rsidR="00C44256" w:rsidRPr="00621B83" w:rsidRDefault="00BB7BB7" w:rsidP="008668A3">
            <w:pPr>
              <w:rPr>
                <w:b/>
              </w:rPr>
            </w:pPr>
            <w:r w:rsidRPr="00621B83">
              <w:rPr>
                <w:b/>
              </w:rPr>
              <w:t>Когато проектното предложение включва повече от една система за външно изкуствено осветление, ЕСМ могат да бъдат препоръчани с едно или повече обследвания за енергийна ефективност. В този случай Докладът/ите</w:t>
            </w:r>
            <w:r w:rsidRPr="00983251">
              <w:t xml:space="preserve"> </w:t>
            </w:r>
            <w:r w:rsidRPr="00621B83">
              <w:rPr>
                <w:b/>
              </w:rPr>
              <w:t>от обследването/ята за енергийна ефективност трябва да съдържа/т данни за всяка една система за индикатори 1, 2 и 3 по т. 4 от настоящите Насоки.</w:t>
            </w:r>
            <w:r w:rsidRPr="00983251">
              <w:t xml:space="preserve"> </w:t>
            </w:r>
          </w:p>
        </w:tc>
      </w:tr>
    </w:tbl>
    <w:p w14:paraId="6CBCE5C8" w14:textId="77777777" w:rsidR="0025790D" w:rsidRPr="00621B83" w:rsidRDefault="002E4F8A" w:rsidP="00987299">
      <w:r w:rsidRPr="00621B83">
        <w:t>Проектите следва да отговарят на принцип</w:t>
      </w:r>
      <w:r w:rsidR="0025790D" w:rsidRPr="00621B83">
        <w:t>ите за икономичност, ефикасност и ефективност.</w:t>
      </w:r>
    </w:p>
    <w:p w14:paraId="25C807D8" w14:textId="77777777" w:rsidR="00F2173A" w:rsidRPr="00621B83" w:rsidRDefault="00EA31E2" w:rsidP="00794B52">
      <w:r w:rsidRPr="00621B83">
        <w:t xml:space="preserve">За да </w:t>
      </w:r>
      <w:r w:rsidR="00F2173A" w:rsidRPr="00621B83">
        <w:t xml:space="preserve">бъде </w:t>
      </w:r>
      <w:r w:rsidRPr="00621B83">
        <w:t>допустим за финансиране проектът</w:t>
      </w:r>
      <w:r w:rsidR="00A51E7F" w:rsidRPr="00621B83">
        <w:t xml:space="preserve"> е необходимо наличието на </w:t>
      </w:r>
      <w:r w:rsidR="000D0726" w:rsidRPr="00621B83">
        <w:t>един от следните варианти на</w:t>
      </w:r>
      <w:r w:rsidR="00A51E7F" w:rsidRPr="00621B83">
        <w:t xml:space="preserve"> проектна готовност</w:t>
      </w:r>
      <w:r w:rsidR="00444962" w:rsidRPr="00621B83">
        <w:t>:</w:t>
      </w:r>
    </w:p>
    <w:p w14:paraId="05E1A963" w14:textId="77777777" w:rsidR="00F2173A" w:rsidRPr="00621B83" w:rsidRDefault="00F2173A" w:rsidP="00794B52">
      <w:r w:rsidRPr="00621B83">
        <w:rPr>
          <w:b/>
        </w:rPr>
        <w:lastRenderedPageBreak/>
        <w:t>Вариант 1</w:t>
      </w:r>
      <w:r w:rsidR="00917D02" w:rsidRPr="00621B83">
        <w:rPr>
          <w:b/>
        </w:rPr>
        <w:t xml:space="preserve"> </w:t>
      </w:r>
      <w:r w:rsidR="000D72FB" w:rsidRPr="00621B83">
        <w:rPr>
          <w:b/>
        </w:rPr>
        <w:t>„Проекти в пълна степен на проектна готовност“:</w:t>
      </w:r>
      <w:r w:rsidR="000D72FB" w:rsidRPr="00621B83">
        <w:t xml:space="preserve"> </w:t>
      </w:r>
      <w:r w:rsidR="00444962" w:rsidRPr="00621B83">
        <w:t>и</w:t>
      </w:r>
      <w:r w:rsidR="004C3AF3" w:rsidRPr="00621B83">
        <w:t>звършено обследване за енергийна ефективност на системата</w:t>
      </w:r>
      <w:r w:rsidR="00CA5A41" w:rsidRPr="00621B83">
        <w:t>/ите</w:t>
      </w:r>
      <w:r w:rsidR="004C3AF3" w:rsidRPr="00621B83">
        <w:t xml:space="preserve"> за външно изкуствено осветление и</w:t>
      </w:r>
      <w:r w:rsidR="00EA6745" w:rsidRPr="00621B83">
        <w:t xml:space="preserve"> и</w:t>
      </w:r>
      <w:r w:rsidR="00F17864" w:rsidRPr="00621B83">
        <w:t xml:space="preserve">зготвен </w:t>
      </w:r>
      <w:r w:rsidR="00A51E7F" w:rsidRPr="00621B83">
        <w:t>работ</w:t>
      </w:r>
      <w:r w:rsidR="001B5611" w:rsidRPr="00621B83">
        <w:t>ен проект</w:t>
      </w:r>
      <w:r w:rsidR="00C012C3" w:rsidRPr="00621B83">
        <w:t>, разработен и одобрен съобразно нормативните изисквания</w:t>
      </w:r>
      <w:r w:rsidR="00C10AB8" w:rsidRPr="00621B83">
        <w:t>.</w:t>
      </w:r>
    </w:p>
    <w:p w14:paraId="3D2BEC1E" w14:textId="77777777" w:rsidR="006406E6" w:rsidRPr="00621B83" w:rsidRDefault="006406E6" w:rsidP="006406E6">
      <w:pPr>
        <w:rPr>
          <w:color w:val="000000"/>
        </w:rPr>
      </w:pPr>
      <w:r w:rsidRPr="00621B83">
        <w:rPr>
          <w:color w:val="000000"/>
        </w:rPr>
        <w:t>Обследването за енергийна ефективност се изготвя в съответствие с наредбата</w:t>
      </w:r>
      <w:r w:rsidRPr="00621B83">
        <w:rPr>
          <w:rStyle w:val="FootnoteReference"/>
          <w:color w:val="000000"/>
        </w:rPr>
        <w:footnoteReference w:id="2"/>
      </w:r>
      <w:r w:rsidRPr="00621B83">
        <w:rPr>
          <w:color w:val="000000"/>
        </w:rPr>
        <w:t xml:space="preserve"> по чл. 57, ал. 6 от Закона за енергийната ефективност</w:t>
      </w:r>
      <w:r w:rsidR="00C10AB8" w:rsidRPr="00621B83">
        <w:rPr>
          <w:color w:val="000000"/>
        </w:rPr>
        <w:t xml:space="preserve"> (ЗЕЕ)</w:t>
      </w:r>
      <w:r w:rsidRPr="00621B83">
        <w:rPr>
          <w:color w:val="000000"/>
        </w:rPr>
        <w:t xml:space="preserve"> и при спазване изискванията на стандартизационен документ за улично осветление СД CEN/TR 13201-1 и български стандарти за улично осветление: БДС EN 13201-2, БДС EN 13201–3 и БДС EN 13201–5.</w:t>
      </w:r>
      <w:r w:rsidR="00DA2FBE" w:rsidRPr="00621B83">
        <w:rPr>
          <w:color w:val="000000"/>
        </w:rPr>
        <w:t xml:space="preserve"> За целите на настоящата процедура при извършване на </w:t>
      </w:r>
      <w:r w:rsidR="00B11F39" w:rsidRPr="00621B83">
        <w:rPr>
          <w:color w:val="000000"/>
        </w:rPr>
        <w:t>обследване</w:t>
      </w:r>
      <w:r w:rsidR="00B11F39" w:rsidRPr="00621B83">
        <w:rPr>
          <w:color w:val="000000"/>
          <w:lang w:val="en-US"/>
        </w:rPr>
        <w:t xml:space="preserve"> </w:t>
      </w:r>
      <w:r w:rsidR="00B11F39" w:rsidRPr="00621B83">
        <w:rPr>
          <w:color w:val="000000"/>
        </w:rPr>
        <w:t xml:space="preserve">за </w:t>
      </w:r>
      <w:r w:rsidR="00DA2FBE" w:rsidRPr="00621B83">
        <w:rPr>
          <w:color w:val="000000"/>
        </w:rPr>
        <w:t>енергийн</w:t>
      </w:r>
      <w:r w:rsidR="00B11F39" w:rsidRPr="00621B83">
        <w:rPr>
          <w:color w:val="000000"/>
        </w:rPr>
        <w:t>а ефективност</w:t>
      </w:r>
      <w:r w:rsidR="00DA2FBE" w:rsidRPr="00621B83">
        <w:rPr>
          <w:color w:val="000000"/>
        </w:rPr>
        <w:t xml:space="preserve"> оценката на спестените емисии на парникови газове се изчислява при емисионен фактор от 1.18  tCO2/MWh.</w:t>
      </w:r>
    </w:p>
    <w:p w14:paraId="590E1ABB" w14:textId="77777777" w:rsidR="006406E6" w:rsidRPr="00621B83" w:rsidRDefault="006406E6" w:rsidP="006406E6">
      <w:r w:rsidRPr="00621B83">
        <w:t>Обследването за енергийна ефективност и работния проект трябва да съдържат избор на класове за осветление, да определят технически изисквания, да включват изчисляване на светлотехнически показатели и показатели за енергийна ефективност в съответствие със стандартизационен документ за улично осветление СД CEN/TR 13201-1 и български стандарти за улично осветление: БДС EN 13201-2, БДС EN 13201–3 и БДС EN 13201–5.</w:t>
      </w:r>
    </w:p>
    <w:p w14:paraId="0D245DFD" w14:textId="63EED82F" w:rsidR="006406E6" w:rsidRPr="00621B83" w:rsidRDefault="006406E6" w:rsidP="006406E6">
      <w:r w:rsidRPr="00621B83">
        <w:t>Обследването за енергийна ефективност и работния проект трябва да съдържат данни за избрания вид осветител с данни за светлоразпределение, номинална мощност и светлинен поток, като стойността на светлинния добив да е не по-малко от 120 lm/W, а за светлоразпределение да са с 0.0</w:t>
      </w:r>
      <w:r w:rsidR="008668A3">
        <w:t> </w:t>
      </w:r>
      <w:r w:rsidRPr="00621B83">
        <w:t>%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p w14:paraId="47367585" w14:textId="77777777" w:rsidR="008563E8" w:rsidRPr="00621B83" w:rsidRDefault="008563E8" w:rsidP="006406E6">
      <w:pPr>
        <w:rPr>
          <w:color w:val="000000"/>
        </w:rPr>
      </w:pPr>
      <w:r w:rsidRPr="00621B83">
        <w:rPr>
          <w:color w:val="000000"/>
        </w:rPr>
        <w:t xml:space="preserve">Техническите параметри и инвестиционните разходи, заложени в работния проект, следва да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w:t>
      </w:r>
      <w:r w:rsidR="00394542" w:rsidRPr="00621B83">
        <w:rPr>
          <w:color w:val="000000"/>
        </w:rPr>
        <w:t>Д</w:t>
      </w:r>
      <w:r w:rsidRPr="00621B83">
        <w:rPr>
          <w:color w:val="000000"/>
        </w:rPr>
        <w:t xml:space="preserve">оклада от обследването за енергийна ефективност, или да водят до по-добри резултати. </w:t>
      </w:r>
    </w:p>
    <w:p w14:paraId="0F475B84" w14:textId="77777777" w:rsidR="006172A9" w:rsidRPr="00621B83" w:rsidRDefault="006172A9" w:rsidP="006172A9">
      <w:r w:rsidRPr="00621B83">
        <w:rPr>
          <w:b/>
        </w:rPr>
        <w:t xml:space="preserve">Вариант 2 „Проекти </w:t>
      </w:r>
      <w:r w:rsidR="00C91517" w:rsidRPr="00621B83">
        <w:rPr>
          <w:b/>
        </w:rPr>
        <w:t xml:space="preserve">само </w:t>
      </w:r>
      <w:r w:rsidRPr="00621B83">
        <w:rPr>
          <w:b/>
        </w:rPr>
        <w:t>с обследване за енергийна ефективност“:</w:t>
      </w:r>
      <w:r w:rsidRPr="00621B83">
        <w:rPr>
          <w:color w:val="000000"/>
        </w:rPr>
        <w:t xml:space="preserve"> </w:t>
      </w:r>
      <w:r w:rsidRPr="00621B83">
        <w:t>извършено обследване за енергийна ефективност на системата за външно изкуствено осветление.</w:t>
      </w:r>
    </w:p>
    <w:p w14:paraId="3F8E9585" w14:textId="77777777" w:rsidR="006172A9" w:rsidRPr="00621B83" w:rsidRDefault="006172A9" w:rsidP="006172A9">
      <w:pPr>
        <w:rPr>
          <w:color w:val="000000"/>
        </w:rPr>
      </w:pPr>
      <w:r w:rsidRPr="00621B83">
        <w:t xml:space="preserve">Докладът от обследването за енергийна ефективност се изготвя от лице, вписано в публичния регистър по чл. 60, ал. 1 от ЗЕЕ в съответствие с наредбата по чл. 57, ал. 6 от </w:t>
      </w:r>
      <w:r w:rsidR="009E5414" w:rsidRPr="00621B83">
        <w:t>ЗЕЕ</w:t>
      </w:r>
      <w:r w:rsidRPr="00621B83">
        <w:t xml:space="preserve"> - при спазване изискванията на стандартизационен документ за улично осветление СД CEN/TR 13201-1 и български стандарти за улично осветление: БДС EN 13201-2, БДС EN 13201–3 и БДС EN 13201–5.</w:t>
      </w:r>
      <w:r w:rsidRPr="00621B83">
        <w:rPr>
          <w:color w:val="000000"/>
        </w:rPr>
        <w:t xml:space="preserve"> За целите на настоящата процедура при извършване на </w:t>
      </w:r>
      <w:r w:rsidR="00B11F39" w:rsidRPr="00621B83">
        <w:rPr>
          <w:color w:val="000000"/>
        </w:rPr>
        <w:t>обследване за енергийна ефективност</w:t>
      </w:r>
      <w:r w:rsidR="009E5414" w:rsidRPr="00621B83">
        <w:rPr>
          <w:color w:val="000000"/>
        </w:rPr>
        <w:t xml:space="preserve"> </w:t>
      </w:r>
      <w:r w:rsidRPr="00621B83">
        <w:rPr>
          <w:color w:val="000000"/>
        </w:rPr>
        <w:t>оценката на спестените емисии на парникови газове се изчислява при емисионен фактор от 1.18 tCO2/MWh.</w:t>
      </w:r>
    </w:p>
    <w:p w14:paraId="5C0ADC7E" w14:textId="77777777" w:rsidR="00CA5A41" w:rsidRPr="00621B83" w:rsidRDefault="006172A9" w:rsidP="006172A9">
      <w:r w:rsidRPr="00621B83">
        <w:t>Обследването за енергийна ефективност трябва да съдържа данни за избрания вид осветител с данни за светлоразпределение, номинална мощност и светлинен поток, като стойността на светлинния добив да е не по-малко от 120 lm/W, а за светлоразпределение да са с 0.0 %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p w14:paraId="27B9AB10" w14:textId="77777777" w:rsidR="000612BA" w:rsidRPr="00621B83" w:rsidRDefault="000612BA" w:rsidP="006172A9"/>
    <w:p w14:paraId="18E43DC3" w14:textId="77777777" w:rsidR="000612BA" w:rsidRPr="00621B83" w:rsidRDefault="000612BA" w:rsidP="000612BA">
      <w:pPr>
        <w:rPr>
          <w:b/>
        </w:rPr>
      </w:pPr>
      <w:r w:rsidRPr="00621B83">
        <w:rPr>
          <w:b/>
        </w:rPr>
        <w:t>Процедура за издаване на Становище за съответствие от АУЕР</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40730C" w:rsidRPr="00983251" w14:paraId="6C5D03D8"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0722171E" w14:textId="77777777" w:rsidR="0040730C" w:rsidRPr="00621B83" w:rsidRDefault="0040730C" w:rsidP="00BD53C1">
            <w:pPr>
              <w:rPr>
                <w:b/>
              </w:rPr>
            </w:pPr>
            <w:r w:rsidRPr="00621B83">
              <w:rPr>
                <w:b/>
              </w:rPr>
              <w:t>ВАЖНО!</w:t>
            </w:r>
          </w:p>
          <w:p w14:paraId="41DD92FE" w14:textId="77777777" w:rsidR="0040730C" w:rsidRPr="00621B83" w:rsidRDefault="0040730C" w:rsidP="00B11F39">
            <w:pPr>
              <w:rPr>
                <w:b/>
              </w:rPr>
            </w:pPr>
            <w:r w:rsidRPr="00621B83">
              <w:rPr>
                <w:b/>
              </w:rPr>
              <w:t xml:space="preserve">Независимо от избрания вариант за кандидатстване, всеки </w:t>
            </w:r>
            <w:r w:rsidR="006371AE" w:rsidRPr="00621B83">
              <w:rPr>
                <w:b/>
              </w:rPr>
              <w:t xml:space="preserve">Кандидат </w:t>
            </w:r>
            <w:r w:rsidRPr="00621B83">
              <w:rPr>
                <w:b/>
              </w:rPr>
              <w:t xml:space="preserve">следва да  представи към </w:t>
            </w:r>
            <w:r w:rsidR="00394542" w:rsidRPr="00621B83">
              <w:rPr>
                <w:b/>
              </w:rPr>
              <w:t>Формуляра за кандидатстване</w:t>
            </w:r>
            <w:r w:rsidRPr="00621B83">
              <w:rPr>
                <w:b/>
              </w:rPr>
              <w:t xml:space="preserve"> Становище за съответствие на Доклада от обследването за енергийна ефективност на системата</w:t>
            </w:r>
            <w:r w:rsidR="00845923" w:rsidRPr="00621B83">
              <w:rPr>
                <w:b/>
              </w:rPr>
              <w:t>/ите</w:t>
            </w:r>
            <w:r w:rsidRPr="00621B83">
              <w:rPr>
                <w:b/>
              </w:rPr>
              <w:t xml:space="preserve"> за външно изкуствено осветление</w:t>
            </w:r>
            <w:r w:rsidR="00281730" w:rsidRPr="00621B83">
              <w:rPr>
                <w:b/>
              </w:rPr>
              <w:t xml:space="preserve"> с вписано одобрение на доклада</w:t>
            </w:r>
            <w:r w:rsidRPr="00621B83">
              <w:rPr>
                <w:b/>
              </w:rPr>
              <w:t xml:space="preserve">, издадено от  АУЕР. </w:t>
            </w:r>
          </w:p>
        </w:tc>
      </w:tr>
    </w:tbl>
    <w:p w14:paraId="4769730C" w14:textId="4D83F612" w:rsidR="000612BA" w:rsidRPr="00621B83" w:rsidRDefault="000612BA" w:rsidP="005E375D"/>
    <w:p w14:paraId="336F7DAF" w14:textId="597CC564" w:rsidR="006172A9" w:rsidRPr="00621B83" w:rsidRDefault="006172A9" w:rsidP="006172A9">
      <w:r w:rsidRPr="00621B83">
        <w:t xml:space="preserve">Кандидатът по настоящата процедура има задължение да изготви и представи в АУЕР Доклад от обследване за енергийна ефективност и изискуемите документи по чл. 18, ал. 2 от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(Наредбата) в електронен формат </w:t>
      </w:r>
      <w:r w:rsidR="00422ADF" w:rsidRPr="00D37A33">
        <w:rPr>
          <w:b/>
          <w:bCs/>
          <w:iCs/>
        </w:rPr>
        <w:t>не по-късно от 17:00 часа на 07 февруари 2020 г.</w:t>
      </w:r>
    </w:p>
    <w:p w14:paraId="573572BF" w14:textId="1B1A310B" w:rsidR="006172A9" w:rsidRPr="00621B83" w:rsidRDefault="006172A9" w:rsidP="006172A9">
      <w:pPr>
        <w:rPr>
          <w:color w:val="000000"/>
        </w:rPr>
      </w:pPr>
      <w:r w:rsidRPr="00621B83">
        <w:rPr>
          <w:color w:val="000000"/>
        </w:rPr>
        <w:t>Докладът от обследването за енергийна ефективност, заедно с изискуемите документи по чл. 18, ал.</w:t>
      </w:r>
      <w:r w:rsidR="008668A3">
        <w:rPr>
          <w:color w:val="000000"/>
        </w:rPr>
        <w:t> </w:t>
      </w:r>
      <w:r w:rsidRPr="00621B83">
        <w:rPr>
          <w:color w:val="000000"/>
        </w:rPr>
        <w:t>2 от Наредбата (Пакет от документи), се изпращат от Кандидата в АУЕР по електронен път чрез една от двете системи за обмен на документи между административните органи: Система за електронен обмен на съобщенията (СЕОС) или Система за сигурно електронно връчване</w:t>
      </w:r>
      <w:r w:rsidR="00281730" w:rsidRPr="00621B83">
        <w:rPr>
          <w:color w:val="000000"/>
        </w:rPr>
        <w:t xml:space="preserve"> (ССЕВ)</w:t>
      </w:r>
      <w:r w:rsidRPr="00621B83">
        <w:rPr>
          <w:color w:val="000000"/>
        </w:rPr>
        <w:t xml:space="preserve">. Докладът от обследването за енергийна ефективност следва да бъде подписан </w:t>
      </w:r>
      <w:r w:rsidRPr="00621B83">
        <w:t xml:space="preserve">от управителя на лицето по чл. 59, ал. 1 от ЗЕЕ. При изпращането на Пакета от документи в АУЕР, той </w:t>
      </w:r>
      <w:r w:rsidRPr="00621B83">
        <w:rPr>
          <w:color w:val="000000"/>
        </w:rPr>
        <w:t xml:space="preserve">следва да бъде подписан с КЕП от лице с право да представлява Кандидата или упълномощено лице. В случаите, когато </w:t>
      </w:r>
      <w:r w:rsidRPr="00621B83">
        <w:t>Пакетът от документи</w:t>
      </w:r>
      <w:r w:rsidRPr="00621B83">
        <w:rPr>
          <w:color w:val="000000"/>
        </w:rPr>
        <w:t xml:space="preserve"> е подаден от упълномощено лице, в електронното съобщение до АУЕР освен </w:t>
      </w:r>
      <w:r w:rsidR="00845923" w:rsidRPr="00621B83">
        <w:rPr>
          <w:color w:val="000000"/>
        </w:rPr>
        <w:t xml:space="preserve">Доклада </w:t>
      </w:r>
      <w:r w:rsidRPr="00621B83">
        <w:rPr>
          <w:color w:val="000000"/>
        </w:rPr>
        <w:t>следва да е приложен</w:t>
      </w:r>
      <w:r w:rsidR="009F19DC">
        <w:rPr>
          <w:color w:val="000000"/>
        </w:rPr>
        <w:t xml:space="preserve"> документ за </w:t>
      </w:r>
      <w:r w:rsidRPr="00621B83">
        <w:rPr>
          <w:color w:val="000000"/>
        </w:rPr>
        <w:t xml:space="preserve"> </w:t>
      </w:r>
      <w:r w:rsidR="009F19DC">
        <w:rPr>
          <w:color w:val="000000"/>
        </w:rPr>
        <w:t>у</w:t>
      </w:r>
      <w:r w:rsidRPr="00621B83">
        <w:rPr>
          <w:color w:val="000000"/>
        </w:rPr>
        <w:t>пълномощ</w:t>
      </w:r>
      <w:r w:rsidR="009F19DC">
        <w:rPr>
          <w:color w:val="000000"/>
        </w:rPr>
        <w:t>аване</w:t>
      </w:r>
      <w:r w:rsidRPr="00621B83">
        <w:rPr>
          <w:color w:val="000000"/>
        </w:rPr>
        <w:t xml:space="preserve"> за подаването му. </w:t>
      </w:r>
      <w:r w:rsidR="009F19DC">
        <w:rPr>
          <w:color w:val="000000"/>
        </w:rPr>
        <w:t>Документът</w:t>
      </w:r>
      <w:r w:rsidR="009F19DC" w:rsidRPr="00621B83">
        <w:rPr>
          <w:color w:val="000000"/>
        </w:rPr>
        <w:t xml:space="preserve"> </w:t>
      </w:r>
      <w:r w:rsidRPr="00621B83">
        <w:rPr>
          <w:color w:val="000000"/>
        </w:rPr>
        <w:t>следва да е подписан с К</w:t>
      </w:r>
      <w:r w:rsidR="00281730" w:rsidRPr="00621B83">
        <w:rPr>
          <w:color w:val="000000"/>
        </w:rPr>
        <w:t>валифициран електронен подпис (К</w:t>
      </w:r>
      <w:r w:rsidRPr="00621B83">
        <w:rPr>
          <w:color w:val="000000"/>
        </w:rPr>
        <w:t>ЕП</w:t>
      </w:r>
      <w:r w:rsidR="00281730" w:rsidRPr="00621B83">
        <w:rPr>
          <w:color w:val="000000"/>
        </w:rPr>
        <w:t>)</w:t>
      </w:r>
      <w:r w:rsidRPr="00621B83">
        <w:rPr>
          <w:color w:val="000000"/>
        </w:rPr>
        <w:t xml:space="preserve"> от официалния представител на Кандидата.</w:t>
      </w:r>
    </w:p>
    <w:p w14:paraId="387FF0DD" w14:textId="77777777" w:rsidR="006172A9" w:rsidRPr="00621B83" w:rsidRDefault="006172A9" w:rsidP="006172A9">
      <w:pPr>
        <w:rPr>
          <w:color w:val="000000"/>
        </w:rPr>
      </w:pPr>
      <w:r w:rsidRPr="00621B83">
        <w:rPr>
          <w:color w:val="000000"/>
        </w:rPr>
        <w:t xml:space="preserve">В случай на установени несъответствия по Доклада от обследването за енергийна ефективност, АУЕР ще уведоми Кандидата като отправи искане за преработка на Доклада от обследването за енергийна ефективност. Искането от АУЕР се изпраща на Кандидата чрез една от двете системи за обмен на документи между административните органи: СЕОС или </w:t>
      </w:r>
      <w:r w:rsidR="00281730" w:rsidRPr="00621B83">
        <w:rPr>
          <w:color w:val="000000"/>
        </w:rPr>
        <w:t>ССЕВ</w:t>
      </w:r>
      <w:r w:rsidRPr="00621B83">
        <w:rPr>
          <w:color w:val="000000"/>
        </w:rPr>
        <w:t xml:space="preserve">. Крайният срок за изпращане на искане от АУЕР при първо представяне на </w:t>
      </w:r>
      <w:r w:rsidRPr="00621B83">
        <w:t xml:space="preserve">Доклада от обследването за енергийна ефективност </w:t>
      </w:r>
      <w:r w:rsidRPr="00621B83">
        <w:rPr>
          <w:color w:val="000000"/>
        </w:rPr>
        <w:t xml:space="preserve">е 10 (десет) работни дни от датата на получаване на Доклада от обследването за енергийна ефективност. Кандидатът има срок от 7 (седем) работни дни от датата на получаване на искането от АУЕР за преработване на Доклада от обследването за енергийна ефективност или за изготвяне на разяснение и представянето му. </w:t>
      </w:r>
    </w:p>
    <w:p w14:paraId="1F482235" w14:textId="77777777" w:rsidR="006172A9" w:rsidRPr="00621B83" w:rsidRDefault="006172A9" w:rsidP="006172A9">
      <w:pPr>
        <w:rPr>
          <w:color w:val="000000"/>
        </w:rPr>
      </w:pPr>
      <w:r w:rsidRPr="00621B83">
        <w:rPr>
          <w:color w:val="000000"/>
        </w:rPr>
        <w:t>В рамките на процедурата по съгласуване на Доклада от обследването за енергийна ефективност, искане за преработка и/или разяснения от АУЕР ще се изпраща еднократно.</w:t>
      </w:r>
    </w:p>
    <w:p w14:paraId="2D550F84" w14:textId="77777777" w:rsidR="006172A9" w:rsidRPr="00621B83" w:rsidRDefault="006172A9" w:rsidP="006172A9">
      <w:r w:rsidRPr="00621B83">
        <w:t xml:space="preserve">Кореспонденцията с АУЕР се осъществява единствено и само по електронен път чрез </w:t>
      </w:r>
      <w:r w:rsidRPr="00621B83">
        <w:rPr>
          <w:color w:val="000000"/>
        </w:rPr>
        <w:t>една от двете системи за обмен на документи между административните органи</w:t>
      </w:r>
      <w:r w:rsidR="000612BA" w:rsidRPr="00621B83">
        <w:rPr>
          <w:color w:val="000000"/>
        </w:rPr>
        <w:t xml:space="preserve"> (</w:t>
      </w:r>
      <w:r w:rsidRPr="00621B83">
        <w:rPr>
          <w:color w:val="000000"/>
        </w:rPr>
        <w:t xml:space="preserve">СЕОС или </w:t>
      </w:r>
      <w:r w:rsidR="00281730" w:rsidRPr="00621B83">
        <w:rPr>
          <w:color w:val="000000"/>
        </w:rPr>
        <w:t>ССЕВ)</w:t>
      </w:r>
      <w:r w:rsidRPr="00621B83">
        <w:t>.</w:t>
      </w:r>
    </w:p>
    <w:p w14:paraId="334100A3" w14:textId="77777777" w:rsidR="006172A9" w:rsidRPr="00621B83" w:rsidRDefault="006172A9" w:rsidP="006172A9">
      <w:r w:rsidRPr="00621B83">
        <w:lastRenderedPageBreak/>
        <w:t xml:space="preserve">Кандидат, чийто Доклад от обследване за енергийна ефективност е разгледан от страна на АУЕР, ще получи по </w:t>
      </w:r>
      <w:r w:rsidRPr="00621B83">
        <w:rPr>
          <w:color w:val="000000"/>
        </w:rPr>
        <w:t xml:space="preserve">една от </w:t>
      </w:r>
      <w:r w:rsidR="00281730" w:rsidRPr="00621B83">
        <w:rPr>
          <w:color w:val="000000"/>
        </w:rPr>
        <w:t xml:space="preserve">посочените по-горе </w:t>
      </w:r>
      <w:r w:rsidRPr="00621B83">
        <w:rPr>
          <w:color w:val="000000"/>
        </w:rPr>
        <w:t xml:space="preserve">системи за обмен на документи </w:t>
      </w:r>
      <w:r w:rsidRPr="00621B83">
        <w:t xml:space="preserve">Становище за съответствие на </w:t>
      </w:r>
      <w:r w:rsidR="00281730" w:rsidRPr="00621B83">
        <w:t xml:space="preserve">Доклад </w:t>
      </w:r>
      <w:r w:rsidRPr="00621B83">
        <w:t xml:space="preserve">от обследване за енергийна ефективност (Приложение </w:t>
      </w:r>
      <w:r w:rsidR="00EC267F" w:rsidRPr="00621B83">
        <w:rPr>
          <w:lang w:val="en-US"/>
        </w:rPr>
        <w:t>Q</w:t>
      </w:r>
      <w:r w:rsidRPr="00621B83">
        <w:t>), с което се одобрява/не одобрява Доклада от обследването за енергийна ефективност.</w:t>
      </w:r>
    </w:p>
    <w:p w14:paraId="5FC24434" w14:textId="77777777" w:rsidR="006172A9" w:rsidRPr="00621B83" w:rsidRDefault="006172A9" w:rsidP="006172A9">
      <w:r w:rsidRPr="00621B83">
        <w:t>В случай на представяне на Доклада от обследването за енергийна ефективност /преработения Доклад от обследването за енергийна ефективност/исканото разяснение извън определените срокове, Докладът от обследването за енергийна ефективност няма да бъде разгледан от АУЕР</w:t>
      </w:r>
      <w:r w:rsidRPr="00716C51">
        <w:t xml:space="preserve"> и К</w:t>
      </w:r>
      <w:r w:rsidRPr="00621B83">
        <w:t xml:space="preserve">андидатът няма да получи Становище за съответствие на </w:t>
      </w:r>
      <w:r w:rsidR="00B44D2D" w:rsidRPr="00621B83">
        <w:t xml:space="preserve">Доклада </w:t>
      </w:r>
      <w:r w:rsidRPr="00621B83">
        <w:t xml:space="preserve">от обследване за енергийна ефективност (Приложение </w:t>
      </w:r>
      <w:r w:rsidR="00F860E8" w:rsidRPr="00621B83">
        <w:rPr>
          <w:lang w:val="en-US"/>
        </w:rPr>
        <w:t>Q</w:t>
      </w:r>
      <w:r w:rsidRPr="00621B83">
        <w:t>).</w:t>
      </w:r>
    </w:p>
    <w:p w14:paraId="3ABF7AAC" w14:textId="77777777" w:rsidR="006172A9" w:rsidRPr="00621B83" w:rsidRDefault="006172A9" w:rsidP="006172A9">
      <w:r w:rsidRPr="00621B83">
        <w:t>Кандидат с неодобрен от АУЕР Доклад от обследването за енергийна ефективност и след повторното му представяне/след представяне на изисканото разяснение, ще получи Становище за съответствие с вписано неодобрение на Доклад от обследване за енергийна ефективност, съдържащо мотиви за неодобрението. Проектни предложения, без представено становище, или с вписано неодобрение на Доклада, не са допустими и ще бъдат отхвърлени на етап оценка на административното съответствие и допустимостта.</w:t>
      </w:r>
    </w:p>
    <w:p w14:paraId="5ED1F505" w14:textId="77777777" w:rsidR="006172A9" w:rsidRPr="00621B83" w:rsidRDefault="006172A9" w:rsidP="006172A9">
      <w:r w:rsidRPr="00621B83">
        <w:t>Крайният срок за получаване на становище от АУЕР след повторно представяне на Доклада от обследването за енергийна ефективност/след представяне на изисканото разяснение е 5 (пет) работни дни от дата</w:t>
      </w:r>
      <w:r w:rsidR="00281730" w:rsidRPr="00621B83">
        <w:t>та</w:t>
      </w:r>
      <w:r w:rsidRPr="00621B83">
        <w:t xml:space="preserve"> на получаване на преработения Доклад от обследването за енергийна ефективност/датата на получаване на изисканото разяснение в АУЕР.</w:t>
      </w:r>
    </w:p>
    <w:p w14:paraId="3566FB1B" w14:textId="4F2159EF" w:rsidR="006172A9" w:rsidRPr="00621B83" w:rsidRDefault="006172A9" w:rsidP="006172A9">
      <w:r w:rsidRPr="00621B83">
        <w:t xml:space="preserve">Кандидат, който е получил от АУЕР Становище за съответствие с вписано неодобрение на Доклада от обследването за енергийна ефективност, може да подаде писмено възражение пред изпълнителния директор на АУЕР в рамките на 3 (три) работни дни от получаването му, като денят на получаване на становището не се брои. Възражението следва да бъде подписано с КЕП от официалния представител на </w:t>
      </w:r>
      <w:r w:rsidR="00281730" w:rsidRPr="00621B83">
        <w:t>К</w:t>
      </w:r>
      <w:r w:rsidRPr="00621B83">
        <w:t xml:space="preserve">андидата или упълномощено лице и да бъде изпратено по електронен път чрез една от двете системи за обмен на документи между административните органи, описани по-горе. Възражението следва да съдържа конкретно упоменати точки от становището, срещу които се възразява, и мотиви. Няма да бъдат разглеждани възражения, в които няма посочени основания за възразяване срещу становището на АУЕР. Към възражението </w:t>
      </w:r>
      <w:r w:rsidR="00281730" w:rsidRPr="00621B83">
        <w:t xml:space="preserve">Кандидатът </w:t>
      </w:r>
      <w:r w:rsidRPr="00621B83">
        <w:t>няма право да предоставя допълнителни документи</w:t>
      </w:r>
      <w:r w:rsidRPr="00621B83">
        <w:rPr>
          <w:rStyle w:val="FootnoteReference"/>
        </w:rPr>
        <w:footnoteReference w:id="3"/>
      </w:r>
      <w:r w:rsidRPr="00621B83">
        <w:t>.</w:t>
      </w:r>
    </w:p>
    <w:p w14:paraId="4ABC1685" w14:textId="77777777" w:rsidR="006172A9" w:rsidRPr="00621B83" w:rsidRDefault="006172A9" w:rsidP="006172A9">
      <w:r w:rsidRPr="00621B83">
        <w:t>Възражението се разглежда от тричленна комисия от експерти</w:t>
      </w:r>
      <w:r w:rsidR="00281730" w:rsidRPr="00621B83">
        <w:t xml:space="preserve"> от АУЕР</w:t>
      </w:r>
      <w:r w:rsidRPr="00621B83">
        <w:t>, които не са участвали в изготвянето на Становището.</w:t>
      </w:r>
      <w:r w:rsidR="009F19DC" w:rsidRPr="009F19DC">
        <w:rPr>
          <w:rFonts w:eastAsia="Calibri"/>
        </w:rPr>
        <w:t xml:space="preserve"> </w:t>
      </w:r>
      <w:r w:rsidR="009F19DC" w:rsidRPr="00621B83">
        <w:rPr>
          <w:rFonts w:eastAsia="Calibri"/>
        </w:rPr>
        <w:t xml:space="preserve">При разглеждането на постъпилите възражения и извършване на проверката за тяхната основателност се прилагат </w:t>
      </w:r>
      <w:r w:rsidR="009F19DC">
        <w:rPr>
          <w:rFonts w:eastAsia="Calibri"/>
        </w:rPr>
        <w:t>същите критерии, по които е извършена първоначалната проверка</w:t>
      </w:r>
      <w:r w:rsidR="009F19DC" w:rsidRPr="00621B83">
        <w:rPr>
          <w:rFonts w:eastAsia="Calibri"/>
        </w:rPr>
        <w:t>. Не могат да бъдат добавяни нови критерии, както и да бъдат изисквани допълнителни документи от Кандидатите.</w:t>
      </w:r>
    </w:p>
    <w:p w14:paraId="2CB8D2BF" w14:textId="77777777" w:rsidR="006172A9" w:rsidRPr="00621B83" w:rsidRDefault="006172A9" w:rsidP="006172A9">
      <w:r w:rsidRPr="00621B83">
        <w:t xml:space="preserve">Изпълнителният директор на АУЕР издава окончателно становище </w:t>
      </w:r>
      <w:r w:rsidR="00281730" w:rsidRPr="00621B83">
        <w:t xml:space="preserve">за </w:t>
      </w:r>
      <w:r w:rsidRPr="00621B83">
        <w:t xml:space="preserve">съответствието на Доклада от обследването за енергийна ефективност в рамките на 3 </w:t>
      </w:r>
      <w:r w:rsidR="00281730" w:rsidRPr="00621B83">
        <w:t xml:space="preserve">(три) </w:t>
      </w:r>
      <w:r w:rsidRPr="00621B83">
        <w:t>работни дни от получаването на възражение.</w:t>
      </w:r>
    </w:p>
    <w:p w14:paraId="4979A87A" w14:textId="77777777" w:rsidR="006172A9" w:rsidRDefault="006172A9" w:rsidP="006172A9">
      <w:r w:rsidRPr="00621B83">
        <w:lastRenderedPageBreak/>
        <w:t>Проектното предложение се подава от страна на Кандидата след получаване на Становището за съответствие на Доклада от обследването за енергийна ефективност от АУЕР с вписано одобрение на Доклада.</w:t>
      </w:r>
    </w:p>
    <w:p w14:paraId="5B4127E9" w14:textId="35206FCB" w:rsidR="00A031D8" w:rsidRPr="00621B83" w:rsidRDefault="00A031D8" w:rsidP="006172A9">
      <w:r w:rsidRPr="009B7A4E">
        <w:t>Заедно със Становището АУЕР връща на Кандидата и подписания с КЕП от представител на АУЕР Доклад от обследването за енергийна ефективност, за който е издадено Становището.</w:t>
      </w:r>
    </w:p>
    <w:p w14:paraId="6DA4FC72" w14:textId="77777777" w:rsidR="000612BA" w:rsidRPr="00621B83" w:rsidRDefault="000612BA" w:rsidP="006172A9">
      <w:pPr>
        <w:rPr>
          <w:b/>
        </w:rPr>
      </w:pPr>
    </w:p>
    <w:p w14:paraId="6D758358" w14:textId="77777777" w:rsidR="000612BA" w:rsidRPr="00621B83" w:rsidRDefault="000612BA" w:rsidP="006172A9">
      <w:pPr>
        <w:rPr>
          <w:b/>
        </w:rPr>
      </w:pPr>
      <w:r w:rsidRPr="00621B83">
        <w:rPr>
          <w:b/>
        </w:rPr>
        <w:t>Изисквания във връзка с Работния проект при проекти по Вариант 2</w:t>
      </w:r>
    </w:p>
    <w:p w14:paraId="503CB064" w14:textId="77777777" w:rsidR="006172A9" w:rsidRPr="00621B83" w:rsidRDefault="006172A9" w:rsidP="006172A9">
      <w:r w:rsidRPr="00621B83">
        <w:t>Всяко проектно предложение, което е оценено и одобрено за предоставяне на БФП въз основа на Доклад от обследване за енергийна ефективност и за което Кандидатът е сключил Договор за предоставяне на БФП, следва да представи работен проект (работни чертежи и детайли) в съответствие с изискванията на Закона за устройство на територията и подзаконовата нормативна уредба към него. Работният проект се представя в срок до 10</w:t>
      </w:r>
      <w:r w:rsidR="00B44D2D" w:rsidRPr="00621B83">
        <w:t xml:space="preserve"> (десет)</w:t>
      </w:r>
      <w:r w:rsidRPr="00621B83">
        <w:t xml:space="preserve"> работни дни след одобряването му, но не по-късно от 10 (десет) месеца от сключване на договора за БФП. Бенефициентът не може да подава искане за междинно или окончателно плащане без да е представил работен проект на ПО. В случай че </w:t>
      </w:r>
      <w:r w:rsidR="00B44D2D" w:rsidRPr="00621B83">
        <w:t xml:space="preserve">Бенефициентът </w:t>
      </w:r>
      <w:r w:rsidRPr="00621B83">
        <w:t xml:space="preserve">не представи работния проект в срок </w:t>
      </w:r>
      <w:r w:rsidR="00FA079B" w:rsidRPr="00621B83">
        <w:t xml:space="preserve">до </w:t>
      </w:r>
      <w:r w:rsidRPr="00621B83">
        <w:t xml:space="preserve">10 (десет) месеца от сключване на договора за БФП, </w:t>
      </w:r>
      <w:r w:rsidR="00B44D2D" w:rsidRPr="00621B83">
        <w:t>ПО</w:t>
      </w:r>
      <w:r w:rsidRPr="00621B83">
        <w:t xml:space="preserve"> може да прекрати договора за предоставяне на БФП.</w:t>
      </w:r>
    </w:p>
    <w:p w14:paraId="4347DC0C" w14:textId="77777777" w:rsidR="006172A9" w:rsidRPr="00621B83" w:rsidRDefault="006172A9" w:rsidP="006172A9">
      <w:r w:rsidRPr="00621B83">
        <w:t>Работният проект трябва да съдържа избор на класове за осветление, да определя технически изисквания, да включва изчисляване на светлотехнически показатели и показатели за енергийна ефективност в съответствие със стандартизационен документ за улично осветление СД CEN/TR 13201-1 и български стандарти за улично осветление: БДС EN 13201-2, БДС EN 13201–3 и БДС EN 13201–5.</w:t>
      </w:r>
    </w:p>
    <w:p w14:paraId="36D18B88" w14:textId="77777777" w:rsidR="006172A9" w:rsidRPr="00621B83" w:rsidRDefault="006172A9" w:rsidP="006172A9">
      <w:r w:rsidRPr="00621B83">
        <w:t>Работният проект трябва да съдържа данни за избрания вид осветител с данни за светлоразпределение, номинална мощност и светлинен поток, като стойността на светлинния добив да е не по-малко от 120 lm/W, а за светлоразпределение да са с 0.0 %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p w14:paraId="1FE2ABB6" w14:textId="77777777" w:rsidR="009C28B1" w:rsidRPr="00621B83" w:rsidRDefault="006172A9" w:rsidP="006172A9">
      <w:r w:rsidRPr="00621B83">
        <w:t xml:space="preserve">Представеният работен проект се разглежда от ПО, като се преценява дали </w:t>
      </w:r>
      <w:r w:rsidRPr="00621B83">
        <w:rPr>
          <w:color w:val="000000"/>
        </w:rPr>
        <w:t>заложените в работния проект</w:t>
      </w:r>
      <w:r w:rsidRPr="00621B83">
        <w:t xml:space="preserve"> т</w:t>
      </w:r>
      <w:r w:rsidRPr="00621B83">
        <w:rPr>
          <w:color w:val="000000"/>
        </w:rPr>
        <w:t xml:space="preserve">ехнически параметри и инвестиционни разходи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доклада от обследването за енергийна ефективност, или водят до по-добри резултати. </w:t>
      </w:r>
      <w:r w:rsidRPr="00621B83">
        <w:t xml:space="preserve">В случай че с работния проект това условие не е изпълнено, сключеният Договор за предоставяне на БФП се прекратява и </w:t>
      </w:r>
      <w:r w:rsidR="00FA079B" w:rsidRPr="00621B83">
        <w:t xml:space="preserve">Бенефициентът </w:t>
      </w:r>
      <w:r w:rsidRPr="00621B83">
        <w:t>възстановява получените средства.</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5D6CC7" w:rsidRPr="00983251" w14:paraId="1B5BF17B"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55E22DA6" w14:textId="77777777" w:rsidR="005D6CC7" w:rsidRPr="00621B83" w:rsidRDefault="005D6CC7" w:rsidP="00123A8C">
            <w:pPr>
              <w:keepNext/>
              <w:rPr>
                <w:b/>
              </w:rPr>
            </w:pPr>
            <w:r w:rsidRPr="00621B83">
              <w:rPr>
                <w:b/>
              </w:rPr>
              <w:lastRenderedPageBreak/>
              <w:t>ВАЖНО!</w:t>
            </w:r>
          </w:p>
          <w:p w14:paraId="60FE0C8C" w14:textId="77777777" w:rsidR="002B40BB" w:rsidRPr="00621B83" w:rsidRDefault="008F767E" w:rsidP="005D6CC7">
            <w:pPr>
              <w:rPr>
                <w:b/>
              </w:rPr>
            </w:pPr>
            <w:r w:rsidRPr="00621B83">
              <w:rPr>
                <w:b/>
              </w:rPr>
              <w:t xml:space="preserve">При Вариант 1 и Вариант 2 </w:t>
            </w:r>
            <w:r w:rsidR="000D72FB" w:rsidRPr="00621B83">
              <w:rPr>
                <w:b/>
              </w:rPr>
              <w:t xml:space="preserve">Програмният оператор проверява съответствието на </w:t>
            </w:r>
            <w:r w:rsidR="00773552" w:rsidRPr="00621B83">
              <w:t>показателите за спестяване на енергия и емисии на парникови газове, и размера на инвестиционните разходи</w:t>
            </w:r>
            <w:r w:rsidR="00941A91" w:rsidRPr="00621B83">
              <w:t xml:space="preserve"> от</w:t>
            </w:r>
            <w:r w:rsidR="008106BC" w:rsidRPr="00621B83">
              <w:t xml:space="preserve"> Доклада за</w:t>
            </w:r>
            <w:r w:rsidR="00941A91" w:rsidRPr="00621B83">
              <w:t xml:space="preserve"> обследване</w:t>
            </w:r>
            <w:r w:rsidR="008106BC" w:rsidRPr="00621B83">
              <w:t xml:space="preserve"> за енергийна ефективност</w:t>
            </w:r>
            <w:r w:rsidR="00941A91" w:rsidRPr="00621B83">
              <w:t>, с</w:t>
            </w:r>
            <w:r w:rsidR="00941A91" w:rsidRPr="00621B83">
              <w:rPr>
                <w:b/>
              </w:rPr>
              <w:t xml:space="preserve"> </w:t>
            </w:r>
            <w:r w:rsidR="000D72FB" w:rsidRPr="00621B83">
              <w:rPr>
                <w:b/>
              </w:rPr>
              <w:t>техническите параметри</w:t>
            </w:r>
            <w:r w:rsidR="00941A91" w:rsidRPr="00621B83">
              <w:t xml:space="preserve"> и инвестиционните разходи</w:t>
            </w:r>
            <w:r w:rsidR="000D72FB" w:rsidRPr="00621B83">
              <w:rPr>
                <w:b/>
              </w:rPr>
              <w:t>, заложени в работния проект</w:t>
            </w:r>
            <w:r w:rsidR="002B40BB" w:rsidRPr="00621B83">
              <w:rPr>
                <w:b/>
              </w:rPr>
              <w:t>.</w:t>
            </w:r>
          </w:p>
          <w:p w14:paraId="0D344F7F" w14:textId="77777777" w:rsidR="002B40BB" w:rsidRPr="00621B83" w:rsidRDefault="002B40BB" w:rsidP="005D6CC7">
            <w:pPr>
              <w:rPr>
                <w:b/>
              </w:rPr>
            </w:pPr>
            <w:r w:rsidRPr="00621B83">
              <w:rPr>
                <w:b/>
              </w:rPr>
              <w:t xml:space="preserve">При кандидатстване </w:t>
            </w:r>
            <w:r w:rsidR="00D01DC9" w:rsidRPr="00621B83">
              <w:rPr>
                <w:b/>
              </w:rPr>
              <w:t xml:space="preserve">по </w:t>
            </w:r>
            <w:r w:rsidRPr="00621B83">
              <w:rPr>
                <w:b/>
              </w:rPr>
              <w:t>Вариант 1</w:t>
            </w:r>
            <w:r w:rsidR="00711EC1" w:rsidRPr="00621B83">
              <w:rPr>
                <w:b/>
              </w:rPr>
              <w:t>,</w:t>
            </w:r>
            <w:r w:rsidRPr="00621B83">
              <w:rPr>
                <w:b/>
              </w:rPr>
              <w:t xml:space="preserve"> проверката се осъществява на етап </w:t>
            </w:r>
            <w:r w:rsidR="00D01DC9" w:rsidRPr="00621B83">
              <w:rPr>
                <w:b/>
              </w:rPr>
              <w:t xml:space="preserve">техническа и финансова </w:t>
            </w:r>
            <w:r w:rsidRPr="00621B83">
              <w:rPr>
                <w:b/>
              </w:rPr>
              <w:t xml:space="preserve">оценка на проектните предложения. </w:t>
            </w:r>
          </w:p>
          <w:p w14:paraId="2ADA7F8C" w14:textId="77777777" w:rsidR="004E3B30" w:rsidRPr="00621B83" w:rsidRDefault="002B40BB" w:rsidP="00FA079B">
            <w:pPr>
              <w:rPr>
                <w:b/>
              </w:rPr>
            </w:pPr>
            <w:r w:rsidRPr="00621B83">
              <w:rPr>
                <w:b/>
              </w:rPr>
              <w:t>При кандидатстване</w:t>
            </w:r>
            <w:r w:rsidR="00D01DC9" w:rsidRPr="00621B83">
              <w:rPr>
                <w:b/>
              </w:rPr>
              <w:t xml:space="preserve"> по</w:t>
            </w:r>
            <w:r w:rsidRPr="00621B83">
              <w:rPr>
                <w:b/>
              </w:rPr>
              <w:t xml:space="preserve"> Вариант 2</w:t>
            </w:r>
            <w:r w:rsidR="000D72FB" w:rsidRPr="00621B83">
              <w:rPr>
                <w:b/>
              </w:rPr>
              <w:t>,</w:t>
            </w:r>
            <w:r w:rsidRPr="00621B83">
              <w:rPr>
                <w:b/>
              </w:rPr>
              <w:t xml:space="preserve"> проверката се осъществява </w:t>
            </w:r>
            <w:r w:rsidR="00FA079B" w:rsidRPr="00621B83">
              <w:rPr>
                <w:b/>
              </w:rPr>
              <w:t>след сключване на договора за предоставяне на БФП и след</w:t>
            </w:r>
            <w:r w:rsidR="00773552" w:rsidRPr="00621B83">
              <w:rPr>
                <w:b/>
              </w:rPr>
              <w:t xml:space="preserve"> представяне на работния проект</w:t>
            </w:r>
            <w:r w:rsidRPr="00621B83">
              <w:rPr>
                <w:b/>
              </w:rPr>
              <w:t>.</w:t>
            </w:r>
            <w:r w:rsidRPr="00621B83">
              <w:rPr>
                <w:b/>
                <w:color w:val="000000"/>
              </w:rPr>
              <w:t xml:space="preserve"> </w:t>
            </w:r>
            <w:r w:rsidR="005D6CC7" w:rsidRPr="00621B83">
              <w:rPr>
                <w:b/>
                <w:color w:val="000000"/>
              </w:rPr>
              <w:t xml:space="preserve"> </w:t>
            </w:r>
            <w:r w:rsidR="004E3B30" w:rsidRPr="00621B83">
              <w:rPr>
                <w:b/>
                <w:color w:val="000000"/>
              </w:rPr>
              <w:t xml:space="preserve"> </w:t>
            </w:r>
          </w:p>
        </w:tc>
      </w:tr>
    </w:tbl>
    <w:p w14:paraId="43A1DA7E" w14:textId="77777777" w:rsidR="007D50DD" w:rsidRPr="00621B83" w:rsidRDefault="007D50DD" w:rsidP="007D50DD">
      <w:pPr>
        <w:pStyle w:val="Heading1"/>
      </w:pPr>
      <w:bookmarkStart w:id="28" w:name="_Toc24983838"/>
      <w:bookmarkStart w:id="29" w:name="_Toc24983839"/>
      <w:bookmarkEnd w:id="28"/>
      <w:r w:rsidRPr="00621B83">
        <w:t>ТЕРИТОРИАЛЕН ОБХВАТ И МЯСТО НА ИЗПЪЛНЕНИЕ</w:t>
      </w:r>
      <w:bookmarkEnd w:id="29"/>
    </w:p>
    <w:p w14:paraId="3347E945" w14:textId="77777777" w:rsidR="007D50DD" w:rsidRPr="00621B83" w:rsidRDefault="008D1F7F" w:rsidP="007D50DD">
      <w:r w:rsidRPr="00621B83">
        <w:t>Проектите по процедурата следва да бъдат изпълнени на територията на Република България, като някои от дейностите могат да бъдат изпълнени в</w:t>
      </w:r>
      <w:r w:rsidR="006012CD" w:rsidRPr="00621B83">
        <w:t xml:space="preserve"> страните-донори (ако е приложимо)</w:t>
      </w:r>
      <w:r w:rsidR="007D50DD" w:rsidRPr="00621B83">
        <w:t>.</w:t>
      </w:r>
    </w:p>
    <w:p w14:paraId="68CCB935" w14:textId="77777777" w:rsidR="00B83D52" w:rsidRPr="00621B83" w:rsidRDefault="0054168A" w:rsidP="0054168A">
      <w:pPr>
        <w:pStyle w:val="Heading1"/>
      </w:pPr>
      <w:bookmarkStart w:id="30" w:name="_Toc24983840"/>
      <w:r w:rsidRPr="00621B83">
        <w:t>ДЕЙНОСТИ, ДОПУСТИМИ ЗА ФИНАНСИРАНЕ</w:t>
      </w:r>
      <w:bookmarkEnd w:id="30"/>
    </w:p>
    <w:p w14:paraId="10EA087D" w14:textId="77777777" w:rsidR="00106C35" w:rsidRPr="00716C51" w:rsidRDefault="00D37B67" w:rsidP="00C021CC">
      <w:pPr>
        <w:pStyle w:val="Heading2"/>
      </w:pPr>
      <w:bookmarkStart w:id="31" w:name="_Toc24983841"/>
      <w:r w:rsidRPr="00716C51">
        <w:t>ДОПУСТИМИ ДЕЙНОСТИ</w:t>
      </w:r>
      <w:bookmarkEnd w:id="31"/>
    </w:p>
    <w:p w14:paraId="7D545BE7" w14:textId="77777777" w:rsidR="008D1F7F" w:rsidRPr="00621B83" w:rsidRDefault="0025790D" w:rsidP="008D1F7F">
      <w:pPr>
        <w:rPr>
          <w:b/>
          <w:i/>
          <w:color w:val="000000"/>
        </w:rPr>
      </w:pPr>
      <w:r w:rsidRPr="00621B83">
        <w:rPr>
          <w:b/>
          <w:i/>
          <w:color w:val="000000"/>
        </w:rPr>
        <w:t>До</w:t>
      </w:r>
      <w:r w:rsidR="008D1F7F" w:rsidRPr="00621B83">
        <w:rPr>
          <w:b/>
          <w:i/>
          <w:color w:val="000000"/>
        </w:rPr>
        <w:t xml:space="preserve">пустимите дейности следва да съответстват на целите на Програмата и да водят до постигане на </w:t>
      </w:r>
      <w:r w:rsidR="003B00DA" w:rsidRPr="00621B83">
        <w:rPr>
          <w:b/>
          <w:i/>
          <w:color w:val="000000"/>
        </w:rPr>
        <w:t>резултата</w:t>
      </w:r>
      <w:r w:rsidR="008D1F7F" w:rsidRPr="00621B83">
        <w:rPr>
          <w:b/>
          <w:i/>
          <w:color w:val="000000"/>
        </w:rPr>
        <w:t xml:space="preserve"> „Подобряване на енергийната ефективност в сгради, индустрия и общини“.</w:t>
      </w:r>
    </w:p>
    <w:p w14:paraId="2856AB79" w14:textId="77777777" w:rsidR="00E817B6" w:rsidRPr="00621B83" w:rsidRDefault="00F24F75" w:rsidP="00E817B6">
      <w:pPr>
        <w:rPr>
          <w:b/>
          <w:i/>
          <w:color w:val="000000"/>
        </w:rPr>
      </w:pPr>
      <w:r w:rsidRPr="00621B83">
        <w:rPr>
          <w:b/>
          <w:i/>
          <w:color w:val="000000"/>
        </w:rPr>
        <w:t xml:space="preserve">По </w:t>
      </w:r>
      <w:r w:rsidR="0009400F" w:rsidRPr="00621B83">
        <w:rPr>
          <w:b/>
          <w:i/>
          <w:color w:val="000000"/>
        </w:rPr>
        <w:t>настоящата</w:t>
      </w:r>
      <w:r w:rsidR="00AC0B5C" w:rsidRPr="00621B83">
        <w:rPr>
          <w:b/>
          <w:i/>
          <w:color w:val="000000"/>
        </w:rPr>
        <w:t xml:space="preserve"> процедура </w:t>
      </w:r>
      <w:r w:rsidRPr="00621B83">
        <w:rPr>
          <w:b/>
          <w:i/>
          <w:color w:val="000000"/>
        </w:rPr>
        <w:t>са</w:t>
      </w:r>
      <w:r w:rsidR="001952B3" w:rsidRPr="00621B83">
        <w:rPr>
          <w:b/>
          <w:i/>
          <w:color w:val="000000"/>
        </w:rPr>
        <w:t xml:space="preserve"> допустими за финансиране</w:t>
      </w:r>
      <w:r w:rsidRPr="00621B83">
        <w:rPr>
          <w:b/>
          <w:i/>
          <w:color w:val="000000"/>
        </w:rPr>
        <w:t xml:space="preserve"> следните дейности</w:t>
      </w:r>
      <w:r w:rsidR="008208B0" w:rsidRPr="00621B83">
        <w:rPr>
          <w:b/>
          <w:i/>
          <w:color w:val="000000"/>
        </w:rPr>
        <w:t xml:space="preserve">, изпълнявани от </w:t>
      </w:r>
      <w:r w:rsidR="00E466E7" w:rsidRPr="00621B83">
        <w:rPr>
          <w:b/>
          <w:i/>
          <w:color w:val="000000"/>
        </w:rPr>
        <w:t>Кандидата</w:t>
      </w:r>
      <w:r w:rsidRPr="00621B83">
        <w:rPr>
          <w:b/>
          <w:i/>
          <w:color w:val="000000"/>
        </w:rPr>
        <w:t>:</w:t>
      </w:r>
      <w:r w:rsidR="00AC0B5C" w:rsidRPr="00621B83">
        <w:rPr>
          <w:b/>
          <w:i/>
          <w:color w:val="000000"/>
        </w:rPr>
        <w:t xml:space="preserve"> </w:t>
      </w:r>
    </w:p>
    <w:p w14:paraId="1FFD12DB" w14:textId="77777777" w:rsidR="003327FD" w:rsidRPr="00621B83" w:rsidRDefault="003327FD" w:rsidP="00300C41">
      <w:pPr>
        <w:numPr>
          <w:ilvl w:val="0"/>
          <w:numId w:val="10"/>
        </w:numPr>
        <w:ind w:left="709" w:hanging="349"/>
      </w:pPr>
      <w:r w:rsidRPr="00621B83">
        <w:t>Демонтаж на съществуващи осветители</w:t>
      </w:r>
      <w:r w:rsidR="00BF4295" w:rsidRPr="00621B83">
        <w:t>, проводници и кабели</w:t>
      </w:r>
      <w:r w:rsidRPr="00621B83">
        <w:t>;</w:t>
      </w:r>
    </w:p>
    <w:p w14:paraId="4AC9237D" w14:textId="77777777" w:rsidR="003327FD" w:rsidRPr="00621B83" w:rsidRDefault="003327FD" w:rsidP="00300C41">
      <w:pPr>
        <w:numPr>
          <w:ilvl w:val="0"/>
          <w:numId w:val="10"/>
        </w:numPr>
        <w:ind w:left="709" w:hanging="349"/>
      </w:pPr>
      <w:r w:rsidRPr="00621B83">
        <w:t>Доставка и монтаж на нови осветители</w:t>
      </w:r>
      <w:r w:rsidR="00B813AE" w:rsidRPr="00621B83">
        <w:t>, проводници и кабели</w:t>
      </w:r>
      <w:r w:rsidRPr="00621B83">
        <w:t>;</w:t>
      </w:r>
      <w:r w:rsidRPr="00621B83" w:rsidDel="00D66E82">
        <w:t xml:space="preserve"> </w:t>
      </w:r>
    </w:p>
    <w:p w14:paraId="21635AA3" w14:textId="77777777" w:rsidR="00BC770B" w:rsidRPr="00621B83" w:rsidRDefault="00B813AE" w:rsidP="00300C41">
      <w:pPr>
        <w:numPr>
          <w:ilvl w:val="0"/>
          <w:numId w:val="10"/>
        </w:numPr>
        <w:ind w:left="709" w:hanging="349"/>
      </w:pPr>
      <w:r w:rsidRPr="00621B83">
        <w:t xml:space="preserve">Доставка и монтаж </w:t>
      </w:r>
      <w:r w:rsidR="00B34E08" w:rsidRPr="00621B83">
        <w:t xml:space="preserve">на </w:t>
      </w:r>
      <w:r w:rsidR="002C78A8" w:rsidRPr="00621B83">
        <w:t>съоръжение/я</w:t>
      </w:r>
      <w:r w:rsidR="00F57529" w:rsidRPr="00621B83">
        <w:t xml:space="preserve"> за </w:t>
      </w:r>
      <w:r w:rsidR="00B34E08" w:rsidRPr="00621B83">
        <w:t>производство и съхранение на електрическа е</w:t>
      </w:r>
      <w:r w:rsidR="00BC770B" w:rsidRPr="00621B83">
        <w:t>нергия от възобновяеми източници за собствено потребление в система за външно изкуствено осветление;</w:t>
      </w:r>
    </w:p>
    <w:p w14:paraId="7B98EC17" w14:textId="77777777" w:rsidR="00F24F75" w:rsidRPr="00621B83" w:rsidRDefault="0024605C" w:rsidP="00300C41">
      <w:pPr>
        <w:numPr>
          <w:ilvl w:val="0"/>
          <w:numId w:val="10"/>
        </w:numPr>
        <w:ind w:left="709" w:hanging="349"/>
      </w:pPr>
      <w:r w:rsidRPr="00621B83">
        <w:t xml:space="preserve">Извършване на строително монтажни работи, пряко свързани с </w:t>
      </w:r>
      <w:r w:rsidR="00A95328" w:rsidRPr="00621B83">
        <w:t>реконструкцията</w:t>
      </w:r>
      <w:r w:rsidRPr="00621B83">
        <w:t xml:space="preserve"> на системата/ите за външно изкуствено осветление;</w:t>
      </w:r>
    </w:p>
    <w:p w14:paraId="34A61622" w14:textId="77777777" w:rsidR="00A95328" w:rsidRPr="00621B83" w:rsidRDefault="00C51AE1" w:rsidP="00300C41">
      <w:pPr>
        <w:numPr>
          <w:ilvl w:val="0"/>
          <w:numId w:val="10"/>
        </w:numPr>
        <w:ind w:left="709" w:hanging="349"/>
      </w:pPr>
      <w:r w:rsidRPr="00621B83">
        <w:t xml:space="preserve">Демонтаж на съществуващи средства за управление, доставка </w:t>
      </w:r>
      <w:r w:rsidR="00A95328" w:rsidRPr="00621B83">
        <w:t>и</w:t>
      </w:r>
      <w:r w:rsidRPr="00621B83">
        <w:t xml:space="preserve"> монтаж</w:t>
      </w:r>
      <w:r w:rsidR="00A95328" w:rsidRPr="00621B83">
        <w:t xml:space="preserve"> на нови средства за управление, измерване и контрол, в т.ч. </w:t>
      </w:r>
      <w:r w:rsidR="00432D6F" w:rsidRPr="00621B83">
        <w:t xml:space="preserve">въвеждане или свързване към съществуваща </w:t>
      </w:r>
      <w:r w:rsidR="00A95328" w:rsidRPr="00621B83">
        <w:t>система за автоматизация и управление на системата за външно изкуствено осветление;</w:t>
      </w:r>
    </w:p>
    <w:p w14:paraId="62ABDFDB" w14:textId="77777777" w:rsidR="00432D6F" w:rsidRPr="00621B83" w:rsidRDefault="00432D6F" w:rsidP="00300C41">
      <w:pPr>
        <w:numPr>
          <w:ilvl w:val="0"/>
          <w:numId w:val="10"/>
        </w:numPr>
        <w:ind w:left="709" w:hanging="349"/>
      </w:pPr>
      <w:r w:rsidRPr="00621B83">
        <w:t>Изготвяне на работен проект, в случай на кандидатстване по Вариант 2;</w:t>
      </w:r>
    </w:p>
    <w:p w14:paraId="76B7B5AA" w14:textId="77777777" w:rsidR="00314817" w:rsidRPr="00621B83" w:rsidRDefault="0089037F" w:rsidP="00300C41">
      <w:pPr>
        <w:numPr>
          <w:ilvl w:val="0"/>
          <w:numId w:val="10"/>
        </w:numPr>
        <w:ind w:left="709" w:hanging="349"/>
      </w:pPr>
      <w:r w:rsidRPr="00621B83">
        <w:t>Строителен</w:t>
      </w:r>
      <w:r w:rsidR="00314817" w:rsidRPr="00621B83">
        <w:t xml:space="preserve"> надзор;</w:t>
      </w:r>
    </w:p>
    <w:p w14:paraId="00C12430" w14:textId="77777777" w:rsidR="0089037F" w:rsidRPr="00621B83" w:rsidRDefault="00314817" w:rsidP="00300C41">
      <w:pPr>
        <w:numPr>
          <w:ilvl w:val="0"/>
          <w:numId w:val="10"/>
        </w:numPr>
        <w:ind w:left="709" w:hanging="349"/>
      </w:pPr>
      <w:r w:rsidRPr="00621B83">
        <w:t>А</w:t>
      </w:r>
      <w:r w:rsidR="0089037F" w:rsidRPr="00621B83">
        <w:t>вторски надзор;</w:t>
      </w:r>
    </w:p>
    <w:p w14:paraId="0C95E86F" w14:textId="77777777" w:rsidR="0089037F" w:rsidRPr="00621B83" w:rsidRDefault="00434B0A" w:rsidP="00300C41">
      <w:pPr>
        <w:numPr>
          <w:ilvl w:val="0"/>
          <w:numId w:val="10"/>
        </w:numPr>
        <w:ind w:left="709" w:hanging="349"/>
      </w:pPr>
      <w:r w:rsidRPr="00621B83">
        <w:t>Управление на проекта;</w:t>
      </w:r>
    </w:p>
    <w:p w14:paraId="6E029721" w14:textId="6A83DF03" w:rsidR="0089037F" w:rsidRPr="00621B83" w:rsidRDefault="0034309D" w:rsidP="00300C41">
      <w:pPr>
        <w:numPr>
          <w:ilvl w:val="0"/>
          <w:numId w:val="10"/>
        </w:numPr>
        <w:ind w:left="709" w:hanging="349"/>
      </w:pPr>
      <w:r w:rsidRPr="00621B83">
        <w:lastRenderedPageBreak/>
        <w:t>О</w:t>
      </w:r>
      <w:r w:rsidR="0089037F" w:rsidRPr="00621B83">
        <w:t>бм</w:t>
      </w:r>
      <w:r w:rsidR="00CC12E3">
        <w:t>я</w:t>
      </w:r>
      <w:r w:rsidR="0089037F" w:rsidRPr="00621B83">
        <w:t>н</w:t>
      </w:r>
      <w:r w:rsidR="00CC12E3">
        <w:t>а</w:t>
      </w:r>
      <w:r w:rsidR="0089037F" w:rsidRPr="00621B83">
        <w:t xml:space="preserve"> на опит, знания и най-добри практики на управленско и експертно ниво, обучение</w:t>
      </w:r>
      <w:r w:rsidR="008208B0" w:rsidRPr="00621B83">
        <w:t>,</w:t>
      </w:r>
      <w:r w:rsidRPr="00621B83">
        <w:t xml:space="preserve"> предоставени от </w:t>
      </w:r>
      <w:r w:rsidR="00CC12E3">
        <w:t>П</w:t>
      </w:r>
      <w:r w:rsidR="00CC12E3" w:rsidRPr="00621B83">
        <w:t>артньора</w:t>
      </w:r>
      <w:r w:rsidR="0089037F" w:rsidRPr="00621B83">
        <w:t>;</w:t>
      </w:r>
    </w:p>
    <w:p w14:paraId="746CCA27" w14:textId="77777777" w:rsidR="00076C1E" w:rsidRPr="00621B83" w:rsidRDefault="00076C1E" w:rsidP="00300C41">
      <w:pPr>
        <w:numPr>
          <w:ilvl w:val="0"/>
          <w:numId w:val="10"/>
        </w:numPr>
        <w:ind w:left="709" w:hanging="349"/>
      </w:pPr>
      <w:r w:rsidRPr="00621B83">
        <w:t xml:space="preserve">Посещения в България на </w:t>
      </w:r>
      <w:r w:rsidR="00FA079B" w:rsidRPr="00621B83">
        <w:t xml:space="preserve">Партньорите </w:t>
      </w:r>
      <w:r w:rsidRPr="00621B83">
        <w:t xml:space="preserve">от </w:t>
      </w:r>
      <w:r w:rsidR="00434B0A" w:rsidRPr="00621B83">
        <w:t>страни</w:t>
      </w:r>
      <w:r w:rsidRPr="00621B83">
        <w:t>-донор</w:t>
      </w:r>
      <w:r w:rsidR="00434B0A" w:rsidRPr="00621B83">
        <w:t>и</w:t>
      </w:r>
      <w:r w:rsidRPr="00621B83">
        <w:t xml:space="preserve"> или посещение на </w:t>
      </w:r>
      <w:r w:rsidR="00E466E7" w:rsidRPr="00621B83">
        <w:t>Кандидата</w:t>
      </w:r>
      <w:r w:rsidRPr="00621B83">
        <w:t>/</w:t>
      </w:r>
      <w:r w:rsidR="00E466E7" w:rsidRPr="00621B83">
        <w:t xml:space="preserve">Партньора </w:t>
      </w:r>
      <w:r w:rsidRPr="00621B83">
        <w:t>(</w:t>
      </w:r>
      <w:r w:rsidR="00E466E7" w:rsidRPr="00621B83">
        <w:t>Партньорите</w:t>
      </w:r>
      <w:r w:rsidRPr="00621B83">
        <w:t>) в страна-донор;</w:t>
      </w:r>
    </w:p>
    <w:p w14:paraId="0C9437D4" w14:textId="77777777" w:rsidR="00076C1E" w:rsidRPr="00621B83" w:rsidRDefault="00076C1E" w:rsidP="00300C41">
      <w:pPr>
        <w:numPr>
          <w:ilvl w:val="0"/>
          <w:numId w:val="10"/>
        </w:numPr>
        <w:ind w:left="709" w:hanging="349"/>
      </w:pPr>
      <w:r w:rsidRPr="00621B83">
        <w:t>Одит;</w:t>
      </w:r>
    </w:p>
    <w:p w14:paraId="2D2E64A8" w14:textId="77777777" w:rsidR="0049400B" w:rsidRPr="00621B83" w:rsidRDefault="00643CAC" w:rsidP="00300C41">
      <w:pPr>
        <w:numPr>
          <w:ilvl w:val="0"/>
          <w:numId w:val="10"/>
        </w:numPr>
        <w:ind w:left="709" w:hanging="349"/>
      </w:pPr>
      <w:r w:rsidRPr="00621B83">
        <w:t xml:space="preserve">Дейности </w:t>
      </w:r>
      <w:r w:rsidR="0049400B" w:rsidRPr="00621B83">
        <w:t>за</w:t>
      </w:r>
      <w:r w:rsidRPr="00621B83">
        <w:t xml:space="preserve"> </w:t>
      </w:r>
      <w:r w:rsidR="009B7C03" w:rsidRPr="00621B83">
        <w:t xml:space="preserve">информираност </w:t>
      </w:r>
      <w:r w:rsidRPr="00621B83">
        <w:t>и</w:t>
      </w:r>
      <w:r w:rsidR="0049400B" w:rsidRPr="00621B83">
        <w:t xml:space="preserve"> публичност</w:t>
      </w:r>
      <w:r w:rsidR="00A34F0B" w:rsidRPr="00621B83">
        <w:t>.</w:t>
      </w:r>
    </w:p>
    <w:p w14:paraId="67D8540D" w14:textId="77777777" w:rsidR="005404D5" w:rsidRPr="00621B83" w:rsidRDefault="008208B0" w:rsidP="005404D5">
      <w:pPr>
        <w:rPr>
          <w:b/>
          <w:i/>
          <w:color w:val="000000"/>
        </w:rPr>
      </w:pPr>
      <w:r w:rsidRPr="00621B83">
        <w:rPr>
          <w:b/>
          <w:i/>
          <w:color w:val="000000"/>
        </w:rPr>
        <w:t xml:space="preserve">По настоящата процедура са допустими за финансиране следните дейности, изпълнявани от </w:t>
      </w:r>
      <w:r w:rsidR="00E466E7" w:rsidRPr="00621B83">
        <w:rPr>
          <w:b/>
          <w:i/>
          <w:color w:val="000000"/>
        </w:rPr>
        <w:t>Партньор</w:t>
      </w:r>
      <w:r w:rsidRPr="00621B83">
        <w:rPr>
          <w:b/>
          <w:i/>
          <w:color w:val="000000"/>
        </w:rPr>
        <w:t>/и:</w:t>
      </w:r>
    </w:p>
    <w:p w14:paraId="711D5A73" w14:textId="77777777" w:rsidR="008208B0" w:rsidRPr="00621B83" w:rsidRDefault="008208B0" w:rsidP="00300C41">
      <w:pPr>
        <w:numPr>
          <w:ilvl w:val="0"/>
          <w:numId w:val="10"/>
        </w:numPr>
        <w:ind w:left="709" w:hanging="349"/>
      </w:pPr>
      <w:r w:rsidRPr="00621B83">
        <w:t>Обм</w:t>
      </w:r>
      <w:r w:rsidR="00300C41" w:rsidRPr="00621B83">
        <w:t>я</w:t>
      </w:r>
      <w:r w:rsidRPr="00621B83">
        <w:t>н</w:t>
      </w:r>
      <w:r w:rsidR="00300C41" w:rsidRPr="00621B83">
        <w:t>а</w:t>
      </w:r>
      <w:r w:rsidRPr="00621B83">
        <w:t xml:space="preserve"> на опит, знания и най-добри практики на управленско и експертно ниво, предоставени от </w:t>
      </w:r>
      <w:r w:rsidR="00500CE3" w:rsidRPr="00621B83">
        <w:t>Партньора</w:t>
      </w:r>
      <w:r w:rsidRPr="00621B83">
        <w:t xml:space="preserve">; </w:t>
      </w:r>
    </w:p>
    <w:p w14:paraId="1211B7A8" w14:textId="24D58C46" w:rsidR="008208B0" w:rsidRPr="00621B83" w:rsidRDefault="008208B0" w:rsidP="00A617A0">
      <w:pPr>
        <w:numPr>
          <w:ilvl w:val="0"/>
          <w:numId w:val="10"/>
        </w:numPr>
        <w:ind w:left="709" w:hanging="349"/>
      </w:pPr>
      <w:r w:rsidRPr="00621B83">
        <w:t xml:space="preserve">Посещения в България на </w:t>
      </w:r>
      <w:r w:rsidR="00500CE3" w:rsidRPr="00621B83">
        <w:t xml:space="preserve">Партньорите </w:t>
      </w:r>
      <w:r w:rsidRPr="00621B83">
        <w:t xml:space="preserve">или посещение на </w:t>
      </w:r>
      <w:r w:rsidR="00500CE3" w:rsidRPr="00621B83">
        <w:t>Кандидата</w:t>
      </w:r>
      <w:r w:rsidRPr="00621B83">
        <w:t>/</w:t>
      </w:r>
      <w:r w:rsidR="00500CE3" w:rsidRPr="00621B83">
        <w:t xml:space="preserve">Партньора </w:t>
      </w:r>
      <w:r w:rsidRPr="00621B83">
        <w:t>(</w:t>
      </w:r>
      <w:r w:rsidR="00500CE3" w:rsidRPr="00621B83">
        <w:t>Партньорите</w:t>
      </w:r>
      <w:r w:rsidRPr="00621B83">
        <w:t>) в страна-донор.</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F67C2" w:rsidRPr="00983251" w14:paraId="49DC6A5F"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4CBF68EB" w14:textId="77777777" w:rsidR="003F67C2" w:rsidRPr="00621B83" w:rsidRDefault="003F67C2" w:rsidP="0075505C">
            <w:pPr>
              <w:rPr>
                <w:b/>
              </w:rPr>
            </w:pPr>
            <w:r w:rsidRPr="00621B83">
              <w:rPr>
                <w:b/>
              </w:rPr>
              <w:t>ВАЖНО!</w:t>
            </w:r>
          </w:p>
          <w:p w14:paraId="6628E4BF" w14:textId="2F9A3003" w:rsidR="003F67C2" w:rsidRPr="00983251" w:rsidRDefault="00495B3B" w:rsidP="00F860E8">
            <w:pPr>
              <w:rPr>
                <w:b/>
                <w:color w:val="C45911"/>
                <w:szCs w:val="18"/>
                <w:lang w:eastAsia="ar-SA"/>
              </w:rPr>
            </w:pPr>
            <w:r w:rsidRPr="00621B83">
              <w:rPr>
                <w:b/>
              </w:rPr>
              <w:t>Дейности за информираност и публичност са задължителни за всеки проект. Кандидатът следва да представи План за информираност и публичност във Формуляра за кандидатстване в точка „</w:t>
            </w:r>
            <w:r w:rsidR="006400C0" w:rsidRPr="00621B83">
              <w:rPr>
                <w:b/>
              </w:rPr>
              <w:t>Допълнителна информация необходима за оценка на проектното предложение</w:t>
            </w:r>
            <w:r w:rsidRPr="00621B83">
              <w:rPr>
                <w:b/>
              </w:rPr>
              <w:t xml:space="preserve">“, като спазва изискванията на Ръководството за комуникация и дизайн по </w:t>
            </w:r>
            <w:r w:rsidR="00B17957" w:rsidRPr="00621B83">
              <w:rPr>
                <w:b/>
              </w:rPr>
              <w:t>ФМ</w:t>
            </w:r>
            <w:r w:rsidRPr="00621B83">
              <w:rPr>
                <w:b/>
              </w:rPr>
              <w:t xml:space="preserve"> на ЕИП и Норвегия за периода 2014-2021 г. (Приложение </w:t>
            </w:r>
            <w:r w:rsidR="00F860E8" w:rsidRPr="00621B83">
              <w:rPr>
                <w:b/>
                <w:lang w:val="en-US"/>
              </w:rPr>
              <w:t>C</w:t>
            </w:r>
            <w:r w:rsidRPr="00621B83">
              <w:rPr>
                <w:b/>
              </w:rPr>
              <w:t>)</w:t>
            </w:r>
            <w:r w:rsidR="00D2351F">
              <w:rPr>
                <w:b/>
              </w:rPr>
              <w:t xml:space="preserve"> и т. 2.3 от Анекс 3 на Регламента</w:t>
            </w:r>
            <w:r w:rsidR="00300C41" w:rsidRPr="00621B83">
              <w:rPr>
                <w:b/>
              </w:rPr>
              <w:t>.</w:t>
            </w:r>
            <w:r w:rsidRPr="00983251">
              <w:rPr>
                <w:b/>
                <w:color w:val="C45911"/>
                <w:szCs w:val="18"/>
                <w:lang w:eastAsia="ar-SA"/>
              </w:rPr>
              <w:t xml:space="preserve"> </w:t>
            </w:r>
          </w:p>
        </w:tc>
      </w:tr>
    </w:tbl>
    <w:p w14:paraId="27E9A970" w14:textId="77777777" w:rsidR="003F67C2" w:rsidRPr="00621B83" w:rsidRDefault="003F67C2" w:rsidP="005404D5"/>
    <w:p w14:paraId="4A15E8E1" w14:textId="77777777" w:rsidR="00106C35" w:rsidRPr="00716C51" w:rsidRDefault="00D37B67" w:rsidP="00C021CC">
      <w:pPr>
        <w:pStyle w:val="Heading2"/>
      </w:pPr>
      <w:bookmarkStart w:id="32" w:name="_Toc24983842"/>
      <w:r w:rsidRPr="00716C51">
        <w:t>НЕДОПУСТИМИ ДЕЙНОСТИ</w:t>
      </w:r>
      <w:bookmarkEnd w:id="32"/>
    </w:p>
    <w:p w14:paraId="4593EC9C" w14:textId="77777777" w:rsidR="009A1127" w:rsidRPr="00621B83" w:rsidRDefault="009A1127" w:rsidP="009A1127">
      <w:r w:rsidRPr="00621B83">
        <w:t>Недопустими по процедурата са следните видове дейности:</w:t>
      </w:r>
    </w:p>
    <w:p w14:paraId="56E8F396" w14:textId="77777777" w:rsidR="009F4A58" w:rsidRPr="00621B83" w:rsidRDefault="0059688A" w:rsidP="00300C41">
      <w:pPr>
        <w:numPr>
          <w:ilvl w:val="0"/>
          <w:numId w:val="10"/>
        </w:numPr>
        <w:ind w:left="709" w:hanging="349"/>
      </w:pPr>
      <w:r w:rsidRPr="00621B83">
        <w:t xml:space="preserve">изпълнение на </w:t>
      </w:r>
      <w:r w:rsidR="00E70D40" w:rsidRPr="00621B83">
        <w:t xml:space="preserve">мерки за енергийна ефективност, които не са препоръчани с </w:t>
      </w:r>
      <w:r w:rsidR="00B17957" w:rsidRPr="00621B83">
        <w:t xml:space="preserve">Доклад </w:t>
      </w:r>
      <w:r w:rsidR="00E70D40" w:rsidRPr="00621B83">
        <w:t xml:space="preserve">от обследване за енергийна ефективност, </w:t>
      </w:r>
    </w:p>
    <w:p w14:paraId="41D5B64E" w14:textId="77777777" w:rsidR="00E70D40" w:rsidRPr="00621B83" w:rsidRDefault="0059688A" w:rsidP="00300C41">
      <w:pPr>
        <w:numPr>
          <w:ilvl w:val="0"/>
          <w:numId w:val="10"/>
        </w:numPr>
        <w:ind w:left="709" w:hanging="349"/>
      </w:pPr>
      <w:r w:rsidRPr="00621B83">
        <w:t xml:space="preserve">изпълнение на </w:t>
      </w:r>
      <w:r w:rsidR="009F4A58" w:rsidRPr="00621B83">
        <w:t xml:space="preserve">мерки за енергийна ефективност, които са препоръчани с </w:t>
      </w:r>
      <w:r w:rsidR="006A76C3" w:rsidRPr="00621B83">
        <w:t>Д</w:t>
      </w:r>
      <w:r w:rsidR="009F4A58" w:rsidRPr="00621B83">
        <w:t xml:space="preserve">оклад от обследване за енергийна ефективност, но по отношение на </w:t>
      </w:r>
      <w:r w:rsidR="003147B6" w:rsidRPr="00621B83">
        <w:t>които</w:t>
      </w:r>
      <w:r w:rsidR="00822EE7" w:rsidRPr="00621B83">
        <w:t xml:space="preserve"> не са</w:t>
      </w:r>
      <w:r w:rsidR="004F44DB" w:rsidRPr="00621B83">
        <w:t xml:space="preserve"> спазе</w:t>
      </w:r>
      <w:r w:rsidR="00822EE7" w:rsidRPr="00621B83">
        <w:t>ни</w:t>
      </w:r>
      <w:r w:rsidR="004F44DB" w:rsidRPr="00621B83">
        <w:t xml:space="preserve"> изискванията на стандартизационен документ за улично осветление СД CEN/TR 13201-1 и български стандарти за улично осветление: БДС EN 13201-2, БДС EN 13201–3 и БДС EN 13201–5</w:t>
      </w:r>
      <w:r w:rsidR="0075505C" w:rsidRPr="00621B83">
        <w:t>, както и ако не са постигнати минималните стойности за светл</w:t>
      </w:r>
      <w:r w:rsidR="00B0786D" w:rsidRPr="00621B83">
        <w:t xml:space="preserve">инен </w:t>
      </w:r>
      <w:r w:rsidR="0075505C" w:rsidRPr="00621B83">
        <w:t xml:space="preserve">добив и </w:t>
      </w:r>
      <w:r w:rsidR="00B829E2" w:rsidRPr="00621B83">
        <w:t xml:space="preserve">изискването по отношение на </w:t>
      </w:r>
      <w:r w:rsidR="0075505C" w:rsidRPr="00621B83">
        <w:t>светлоразпределение</w:t>
      </w:r>
      <w:r w:rsidR="00B829E2" w:rsidRPr="00621B83">
        <w:t>то</w:t>
      </w:r>
      <w:r w:rsidR="0075505C" w:rsidRPr="00621B83">
        <w:t xml:space="preserve"> по т. </w:t>
      </w:r>
      <w:r w:rsidR="00B0786D" w:rsidRPr="00621B83">
        <w:t xml:space="preserve">10 </w:t>
      </w:r>
      <w:r w:rsidR="0075505C" w:rsidRPr="00621B83">
        <w:t xml:space="preserve">от </w:t>
      </w:r>
      <w:r w:rsidR="00AE0D51" w:rsidRPr="00621B83">
        <w:t>настоящите насоки</w:t>
      </w:r>
      <w:r w:rsidR="004F44DB" w:rsidRPr="00621B83">
        <w:t>.</w:t>
      </w:r>
      <w:r w:rsidR="00E70D40" w:rsidRPr="00621B83">
        <w:t xml:space="preserve"> </w:t>
      </w:r>
    </w:p>
    <w:p w14:paraId="3EBFAEFE" w14:textId="77777777" w:rsidR="009A1127" w:rsidRPr="00621B83" w:rsidRDefault="009A1127" w:rsidP="00300C41">
      <w:pPr>
        <w:numPr>
          <w:ilvl w:val="0"/>
          <w:numId w:val="10"/>
        </w:numPr>
        <w:ind w:left="709" w:hanging="349"/>
      </w:pPr>
      <w:r w:rsidRPr="00621B83">
        <w:t xml:space="preserve">дейности, чието изпълнение е </w:t>
      </w:r>
      <w:r w:rsidR="005D7C81" w:rsidRPr="00621B83">
        <w:t xml:space="preserve">започнало </w:t>
      </w:r>
      <w:r w:rsidRPr="00621B83">
        <w:t>преди под</w:t>
      </w:r>
      <w:r w:rsidR="00D233D2" w:rsidRPr="00621B83">
        <w:t>аване на проектното предложение</w:t>
      </w:r>
      <w:r w:rsidRPr="00621B83">
        <w:t>;</w:t>
      </w:r>
    </w:p>
    <w:p w14:paraId="5AA92C40" w14:textId="77777777" w:rsidR="009A1127" w:rsidRPr="00621B83" w:rsidRDefault="009A1127" w:rsidP="00300C41">
      <w:pPr>
        <w:numPr>
          <w:ilvl w:val="0"/>
          <w:numId w:val="10"/>
        </w:numPr>
        <w:ind w:left="709" w:hanging="349"/>
      </w:pPr>
      <w:r w:rsidRPr="00621B83">
        <w:t>дейности, извършени след изтичане на крайния срок за изпълнение на дейностите по проекта;</w:t>
      </w:r>
    </w:p>
    <w:p w14:paraId="27137542" w14:textId="77777777" w:rsidR="009A1127" w:rsidRPr="00621B83" w:rsidRDefault="009A1127" w:rsidP="00300C41">
      <w:pPr>
        <w:numPr>
          <w:ilvl w:val="0"/>
          <w:numId w:val="10"/>
        </w:numPr>
        <w:ind w:left="709" w:hanging="349"/>
      </w:pPr>
      <w:r w:rsidRPr="00621B83">
        <w:t>дейности, които вече са финансирани от други публични източници;</w:t>
      </w:r>
    </w:p>
    <w:p w14:paraId="30862EEF" w14:textId="77777777" w:rsidR="009A1127" w:rsidRPr="00621B83" w:rsidRDefault="009A1127" w:rsidP="00300C41">
      <w:pPr>
        <w:numPr>
          <w:ilvl w:val="0"/>
          <w:numId w:val="10"/>
        </w:numPr>
        <w:ind w:left="709" w:hanging="349"/>
      </w:pPr>
      <w:r w:rsidRPr="00621B83">
        <w:t>закупуване на дълготрайни активи втора употреба и на дълготрайни активи, които не са заведени за първи път от получателя на помощта (закупени от първи доставчик или производител);</w:t>
      </w:r>
    </w:p>
    <w:p w14:paraId="26C34504" w14:textId="77777777" w:rsidR="009A1127" w:rsidRPr="00621B83" w:rsidRDefault="009A1127" w:rsidP="00300C41">
      <w:pPr>
        <w:numPr>
          <w:ilvl w:val="0"/>
          <w:numId w:val="10"/>
        </w:numPr>
        <w:ind w:left="709" w:hanging="349"/>
      </w:pPr>
      <w:r w:rsidRPr="00621B83">
        <w:lastRenderedPageBreak/>
        <w:t>закупуване на машини/съоръжения/оборудване и нематериални дълготрайни активи, които не са пряко свързани с постигане на целите на проекта или не са необходими за изпълнение на мерките, включени в обследването за енергийна ефективност</w:t>
      </w:r>
      <w:r w:rsidR="00D233D2" w:rsidRPr="00621B83">
        <w:t xml:space="preserve"> (където е приложимо)</w:t>
      </w:r>
      <w:r w:rsidRPr="00621B83">
        <w:t>;</w:t>
      </w:r>
    </w:p>
    <w:p w14:paraId="2C3B7B27" w14:textId="77777777" w:rsidR="00D233D2" w:rsidRPr="00621B83" w:rsidRDefault="00D233D2" w:rsidP="00300C41">
      <w:pPr>
        <w:numPr>
          <w:ilvl w:val="0"/>
          <w:numId w:val="10"/>
        </w:numPr>
        <w:ind w:left="709" w:hanging="349"/>
      </w:pPr>
      <w:r w:rsidRPr="00621B83">
        <w:t>консултантски услуги за разработване на проектното предложение;</w:t>
      </w:r>
    </w:p>
    <w:p w14:paraId="00F052B3" w14:textId="77777777" w:rsidR="00300C41" w:rsidRPr="00621B83" w:rsidRDefault="00300C41" w:rsidP="00300C41">
      <w:pPr>
        <w:numPr>
          <w:ilvl w:val="0"/>
          <w:numId w:val="10"/>
        </w:numPr>
        <w:ind w:left="709" w:hanging="349"/>
      </w:pPr>
      <w:r w:rsidRPr="00621B83">
        <w:t>всички дейности, които не са сред посочените в т. 12.1. като допустими</w:t>
      </w:r>
      <w:r w:rsidR="00887D58" w:rsidRPr="00621B83">
        <w:t>;</w:t>
      </w:r>
    </w:p>
    <w:p w14:paraId="1EA1541A" w14:textId="77777777" w:rsidR="00650084" w:rsidRPr="00621B83" w:rsidRDefault="00D233D2" w:rsidP="00FD62B8">
      <w:pPr>
        <w:numPr>
          <w:ilvl w:val="0"/>
          <w:numId w:val="21"/>
        </w:numPr>
        <w:ind w:left="709" w:hanging="349"/>
      </w:pPr>
      <w:r w:rsidRPr="00621B83">
        <w:t>консултантски, юридически и счетоводни услуги от общ характер</w:t>
      </w:r>
      <w:r w:rsidR="00887D58" w:rsidRPr="00621B83">
        <w:t>;</w:t>
      </w:r>
    </w:p>
    <w:p w14:paraId="2E243054" w14:textId="77777777" w:rsidR="007553C5" w:rsidRPr="00621B83" w:rsidRDefault="007553C5" w:rsidP="00FD62B8">
      <w:pPr>
        <w:numPr>
          <w:ilvl w:val="0"/>
          <w:numId w:val="21"/>
        </w:numPr>
        <w:ind w:left="709" w:hanging="349"/>
      </w:pPr>
      <w:r w:rsidRPr="00621B83">
        <w:t xml:space="preserve">дейности за придобиването на товарни автомобили от предприятия, които осъществяват </w:t>
      </w:r>
      <w:r w:rsidR="00887D58" w:rsidRPr="00621B83">
        <w:t>автомобилни</w:t>
      </w:r>
      <w:r w:rsidRPr="00621B83">
        <w:t xml:space="preserve"> товарни превози за чужда сметка или срещу възнаграждение</w:t>
      </w:r>
      <w:r w:rsidR="00887D58"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4172CD" w:rsidRPr="00983251" w14:paraId="75ED6B20"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D5EE56A" w14:textId="77777777" w:rsidR="004172CD" w:rsidRPr="00621B83" w:rsidRDefault="004172CD" w:rsidP="00790306">
            <w:pPr>
              <w:keepNext/>
              <w:rPr>
                <w:b/>
              </w:rPr>
            </w:pPr>
            <w:r w:rsidRPr="00621B83">
              <w:rPr>
                <w:b/>
              </w:rPr>
              <w:t>ВАЖНО!</w:t>
            </w:r>
          </w:p>
          <w:p w14:paraId="7C93DBFF" w14:textId="75FA4A34" w:rsidR="009F3FC7" w:rsidRDefault="004172CD" w:rsidP="004172CD">
            <w:pPr>
              <w:rPr>
                <w:b/>
              </w:rPr>
            </w:pPr>
            <w:r w:rsidRPr="004172CD">
              <w:rPr>
                <w:b/>
                <w:lang w:val="en-US"/>
              </w:rPr>
              <w:t>Настоящ</w:t>
            </w:r>
            <w:r w:rsidRPr="004172CD">
              <w:rPr>
                <w:b/>
              </w:rPr>
              <w:t xml:space="preserve">ата покана за набиране на проектни предложения е </w:t>
            </w:r>
            <w:r w:rsidR="009F3FC7">
              <w:rPr>
                <w:b/>
              </w:rPr>
              <w:t xml:space="preserve">специфично </w:t>
            </w:r>
            <w:r w:rsidRPr="004172CD">
              <w:rPr>
                <w:b/>
              </w:rPr>
              <w:t xml:space="preserve">насочена към </w:t>
            </w:r>
            <w:r w:rsidR="009F3FC7" w:rsidRPr="004172CD">
              <w:rPr>
                <w:b/>
              </w:rPr>
              <w:t xml:space="preserve">постигане </w:t>
            </w:r>
            <w:r w:rsidR="009F3FC7">
              <w:rPr>
                <w:b/>
              </w:rPr>
              <w:t xml:space="preserve">на </w:t>
            </w:r>
            <w:r w:rsidR="009F3FC7" w:rsidRPr="004172CD">
              <w:rPr>
                <w:b/>
              </w:rPr>
              <w:t xml:space="preserve">повишение на енергийната ефективност чрез </w:t>
            </w:r>
            <w:r w:rsidR="00B93E00" w:rsidRPr="00B93E00">
              <w:rPr>
                <w:b/>
              </w:rPr>
              <w:t>реконструкция и модернизация</w:t>
            </w:r>
            <w:r w:rsidR="009F3FC7" w:rsidRPr="004172CD">
              <w:rPr>
                <w:b/>
              </w:rPr>
              <w:t xml:space="preserve"> на системите за външно изкуствено осветление, собственост на българските общини</w:t>
            </w:r>
            <w:r w:rsidR="009F3FC7">
              <w:rPr>
                <w:b/>
              </w:rPr>
              <w:t>.</w:t>
            </w:r>
            <w:r w:rsidR="009F3FC7" w:rsidRPr="004172CD">
              <w:rPr>
                <w:b/>
              </w:rPr>
              <w:t xml:space="preserve"> </w:t>
            </w:r>
            <w:r w:rsidR="009F3FC7">
              <w:rPr>
                <w:b/>
              </w:rPr>
              <w:t>И</w:t>
            </w:r>
            <w:r w:rsidR="009F3FC7" w:rsidRPr="004172CD">
              <w:rPr>
                <w:b/>
              </w:rPr>
              <w:t>нвестиционни мерки за системите за външно изкуствено осветление</w:t>
            </w:r>
            <w:r w:rsidR="009F3FC7">
              <w:rPr>
                <w:b/>
              </w:rPr>
              <w:t xml:space="preserve"> на общини се подкрепят и по други програми с по-широк обхват на допустимите дейности</w:t>
            </w:r>
            <w:r w:rsidR="009F3FC7" w:rsidRPr="004172CD">
              <w:rPr>
                <w:b/>
              </w:rPr>
              <w:t>, напр. Приоритетна ос 1 на ОП „Региони в растеж“ и мярка 7.2. на Програмата за развитие на селските райони</w:t>
            </w:r>
            <w:r w:rsidR="009F3FC7">
              <w:rPr>
                <w:b/>
              </w:rPr>
              <w:t>.</w:t>
            </w:r>
          </w:p>
          <w:p w14:paraId="4F6BCEE8" w14:textId="1DFDA1B5" w:rsidR="004172CD" w:rsidRPr="00621B83" w:rsidRDefault="004172CD" w:rsidP="00DF12F7">
            <w:pPr>
              <w:rPr>
                <w:b/>
              </w:rPr>
            </w:pPr>
            <w:r w:rsidRPr="004172CD">
              <w:rPr>
                <w:b/>
              </w:rPr>
              <w:t xml:space="preserve">Следователно всеки проект, представен в рамките на тази покана за </w:t>
            </w:r>
            <w:r w:rsidR="009F3FC7" w:rsidRPr="004172CD">
              <w:rPr>
                <w:b/>
              </w:rPr>
              <w:t xml:space="preserve">набиране </w:t>
            </w:r>
            <w:r w:rsidR="009F3FC7">
              <w:rPr>
                <w:b/>
              </w:rPr>
              <w:t>на</w:t>
            </w:r>
            <w:r w:rsidRPr="004172CD">
              <w:rPr>
                <w:b/>
              </w:rPr>
              <w:t xml:space="preserve"> проектни предложения, трябва ясно да описва демаркацията и/или допълняемостта с дейностите, включени в подобни проекти, които се предвижда да бъдат подкрепени от </w:t>
            </w:r>
            <w:r w:rsidR="009F3FC7" w:rsidRPr="004172CD">
              <w:rPr>
                <w:b/>
              </w:rPr>
              <w:t>ОП „Региони в растеж“</w:t>
            </w:r>
            <w:r w:rsidR="009F3FC7">
              <w:rPr>
                <w:b/>
              </w:rPr>
              <w:t>,</w:t>
            </w:r>
            <w:r w:rsidR="009F3FC7" w:rsidRPr="004172CD">
              <w:rPr>
                <w:b/>
              </w:rPr>
              <w:t xml:space="preserve"> Програмата за развитие на селските райони</w:t>
            </w:r>
            <w:r w:rsidRPr="004172CD">
              <w:rPr>
                <w:b/>
              </w:rPr>
              <w:t xml:space="preserve"> или други </w:t>
            </w:r>
            <w:r w:rsidR="00DF12F7">
              <w:rPr>
                <w:b/>
              </w:rPr>
              <w:t>финансови инструмени, предоставящи безвъзмездна финансова помощ</w:t>
            </w:r>
            <w:r w:rsidRPr="004172CD">
              <w:rPr>
                <w:b/>
              </w:rPr>
              <w:t>.</w:t>
            </w:r>
            <w:r w:rsidRPr="00621B83">
              <w:rPr>
                <w:b/>
                <w:color w:val="000000"/>
              </w:rPr>
              <w:t xml:space="preserve">   </w:t>
            </w:r>
          </w:p>
        </w:tc>
      </w:tr>
    </w:tbl>
    <w:p w14:paraId="3033AA74" w14:textId="77777777" w:rsidR="00496CBD" w:rsidRPr="00621B83" w:rsidRDefault="00496CBD" w:rsidP="00496CBD"/>
    <w:p w14:paraId="491EF97C" w14:textId="77777777" w:rsidR="00496CBD" w:rsidRPr="00716C51" w:rsidRDefault="00496CBD" w:rsidP="00C021CC">
      <w:pPr>
        <w:pStyle w:val="Heading2"/>
      </w:pPr>
      <w:bookmarkStart w:id="33" w:name="_Toc24983843"/>
      <w:r w:rsidRPr="00716C51">
        <w:t>АНАЛИЗ НА РИСКА</w:t>
      </w:r>
      <w:bookmarkEnd w:id="33"/>
    </w:p>
    <w:p w14:paraId="4455DF9D" w14:textId="77777777" w:rsidR="005113B0" w:rsidRPr="00621B83" w:rsidRDefault="005113B0" w:rsidP="005113B0">
      <w:r w:rsidRPr="00621B83">
        <w:t xml:space="preserve">Всички дейности, финансирани </w:t>
      </w:r>
      <w:r w:rsidR="00FA079B" w:rsidRPr="00621B83">
        <w:t>по Ф</w:t>
      </w:r>
      <w:r w:rsidRPr="00621B83">
        <w:t xml:space="preserve">М на ЕИП 2014-2020 трябва да следват подхода на резултатност и управление на риска. От </w:t>
      </w:r>
      <w:r w:rsidR="00866BD2" w:rsidRPr="00621B83">
        <w:t xml:space="preserve">Кандидатите </w:t>
      </w:r>
      <w:r w:rsidRPr="00621B83">
        <w:t>по процедурата се изисква, във Формуляра за кандидатстване, в точка „Допълнителна информация необходима за оценка на проектното предложение“, да представят анализ на риска за проекта. Анализът на риска следва да съдържа информация за:</w:t>
      </w:r>
    </w:p>
    <w:p w14:paraId="2D707482" w14:textId="77777777" w:rsidR="005113B0" w:rsidRPr="00621B83" w:rsidRDefault="005113B0" w:rsidP="00300C41">
      <w:pPr>
        <w:numPr>
          <w:ilvl w:val="0"/>
          <w:numId w:val="10"/>
        </w:numPr>
        <w:ind w:left="709" w:hanging="349"/>
      </w:pPr>
      <w:r w:rsidRPr="00621B83">
        <w:t>Основните финансови, човешки, материални, технологични и информационни ресурси, необходими за изпълнение на дейностите по проекта и за осигуряване устойчивостта на неговите резултати;</w:t>
      </w:r>
    </w:p>
    <w:p w14:paraId="4E327D56" w14:textId="77777777" w:rsidR="005113B0" w:rsidRPr="00621B83" w:rsidRDefault="005113B0" w:rsidP="00300C41">
      <w:pPr>
        <w:numPr>
          <w:ilvl w:val="0"/>
          <w:numId w:val="10"/>
        </w:numPr>
        <w:ind w:left="709" w:hanging="349"/>
      </w:pPr>
      <w:r w:rsidRPr="00621B83">
        <w:t>Възможните рискове, вероятността от възникването им и отражението, което биха имали върху постигане на резултатите на проекта;</w:t>
      </w:r>
    </w:p>
    <w:p w14:paraId="01FF2B7B" w14:textId="77777777" w:rsidR="005113B0" w:rsidRPr="00621B83" w:rsidRDefault="005113B0" w:rsidP="00300C41">
      <w:pPr>
        <w:numPr>
          <w:ilvl w:val="0"/>
          <w:numId w:val="10"/>
        </w:numPr>
        <w:ind w:left="709" w:hanging="349"/>
      </w:pPr>
      <w:r w:rsidRPr="00621B83">
        <w:t xml:space="preserve">Мерките, които </w:t>
      </w:r>
      <w:r w:rsidR="00866BD2" w:rsidRPr="00621B83">
        <w:t xml:space="preserve">Кандидатът </w:t>
      </w:r>
      <w:r w:rsidRPr="00621B83">
        <w:t>предвижда за осигуряване на необходимите ресурси и за предотвратяване, смекчаване, прехвърляне или приемане и управление на установените рискове.</w:t>
      </w:r>
    </w:p>
    <w:p w14:paraId="3533BBFE" w14:textId="77777777" w:rsidR="00496CBD" w:rsidRPr="00621B83" w:rsidRDefault="005113B0" w:rsidP="005113B0">
      <w:r w:rsidRPr="00621B83">
        <w:t xml:space="preserve">При попълване на </w:t>
      </w:r>
      <w:r w:rsidR="00FA079B" w:rsidRPr="00621B83">
        <w:t xml:space="preserve">Формуляра </w:t>
      </w:r>
      <w:r w:rsidRPr="00621B83">
        <w:t xml:space="preserve">за кандидатстване, </w:t>
      </w:r>
      <w:r w:rsidR="00866BD2" w:rsidRPr="00621B83">
        <w:t xml:space="preserve">Кандидатът </w:t>
      </w:r>
      <w:r w:rsidRPr="00621B83">
        <w:t xml:space="preserve">не е необходимо да представя всички възможни рискове, но следва да се фокусира върху основните институционални, оперативни и </w:t>
      </w:r>
      <w:r w:rsidRPr="00621B83">
        <w:lastRenderedPageBreak/>
        <w:t>финансови рискове, за да може да гарантира постигането и дългосрочната устойчивост на резултатите от проекта.</w:t>
      </w:r>
    </w:p>
    <w:p w14:paraId="1CBFBC7F" w14:textId="77777777" w:rsidR="00106C35" w:rsidRPr="00621B83" w:rsidRDefault="0054168A" w:rsidP="00650084">
      <w:pPr>
        <w:pStyle w:val="Heading1"/>
      </w:pPr>
      <w:bookmarkStart w:id="34" w:name="_Toc24983844"/>
      <w:r w:rsidRPr="00621B83">
        <w:t>КАТЕГОРИИ РАЗХОДИ, ДОПУСТИМИ ЗА ФИНАНСИРАНЕ</w:t>
      </w:r>
      <w:bookmarkEnd w:id="34"/>
    </w:p>
    <w:p w14:paraId="02AF079E" w14:textId="77777777" w:rsidR="00295166" w:rsidRPr="00716C51" w:rsidRDefault="00D37B67" w:rsidP="00C021CC">
      <w:pPr>
        <w:pStyle w:val="Heading2"/>
      </w:pPr>
      <w:bookmarkStart w:id="35" w:name="_Toc24983845"/>
      <w:r w:rsidRPr="00716C51">
        <w:t>УСЛОВИЯ ЗА ДОПУСТИМОСТ НА РАЗХОДИТЕ</w:t>
      </w:r>
      <w:bookmarkEnd w:id="35"/>
    </w:p>
    <w:p w14:paraId="0FC3E3B6" w14:textId="77777777" w:rsidR="006042F8" w:rsidRPr="00621B83" w:rsidRDefault="00300C41" w:rsidP="006042F8">
      <w:r w:rsidRPr="00621B83">
        <w:t>За да бъдат д</w:t>
      </w:r>
      <w:r w:rsidR="006042F8" w:rsidRPr="00621B83">
        <w:t xml:space="preserve">опустими разходи по </w:t>
      </w:r>
      <w:r w:rsidRPr="00621B83">
        <w:t xml:space="preserve">настоящата процедура </w:t>
      </w:r>
      <w:r w:rsidR="00761A47" w:rsidRPr="00621B83">
        <w:t xml:space="preserve">за подбор на </w:t>
      </w:r>
      <w:r w:rsidR="006042F8" w:rsidRPr="00621B83">
        <w:t>проекти трябва да отговарят на следните критерии:</w:t>
      </w:r>
    </w:p>
    <w:p w14:paraId="69037025" w14:textId="77777777" w:rsidR="001E2846" w:rsidRPr="00621B83" w:rsidRDefault="001E2846" w:rsidP="00DF2A21">
      <w:pPr>
        <w:numPr>
          <w:ilvl w:val="0"/>
          <w:numId w:val="11"/>
        </w:numPr>
        <w:spacing w:after="0"/>
        <w:ind w:left="709" w:hanging="352"/>
      </w:pPr>
      <w:r w:rsidRPr="00621B83">
        <w:t xml:space="preserve">Да бъдат реално извършени от Бенефициента или от негов/и Партньор/и по време на изпълнението на </w:t>
      </w:r>
      <w:r w:rsidR="00915FB8" w:rsidRPr="00621B83">
        <w:t xml:space="preserve">проекта </w:t>
      </w:r>
      <w:r w:rsidRPr="00621B83">
        <w:t xml:space="preserve">в рамките на договорения срок за изпълнение на </w:t>
      </w:r>
      <w:r w:rsidR="00915FB8" w:rsidRPr="00621B83">
        <w:t>проекта</w:t>
      </w:r>
      <w:r w:rsidRPr="00621B83">
        <w:t xml:space="preserve">; </w:t>
      </w:r>
    </w:p>
    <w:p w14:paraId="43F220AB" w14:textId="77777777" w:rsidR="001E2846" w:rsidRPr="00621B83" w:rsidRDefault="001E2846" w:rsidP="00300C41">
      <w:pPr>
        <w:numPr>
          <w:ilvl w:val="0"/>
          <w:numId w:val="10"/>
        </w:numPr>
        <w:ind w:left="709" w:hanging="349"/>
      </w:pPr>
      <w:r w:rsidRPr="00621B83">
        <w:t xml:space="preserve">Да са възникнали между първата и последната дата на допустимост на разходите за даден проект съгласно </w:t>
      </w:r>
      <w:r w:rsidR="00D94B2A" w:rsidRPr="00621B83">
        <w:t xml:space="preserve">договора за предоставяне на </w:t>
      </w:r>
      <w:r w:rsidRPr="00621B83">
        <w:t>БФП;</w:t>
      </w:r>
    </w:p>
    <w:p w14:paraId="3ADC292C" w14:textId="77777777" w:rsidR="001E2846" w:rsidRPr="00621B83" w:rsidRDefault="001E2846" w:rsidP="00300C41">
      <w:pPr>
        <w:numPr>
          <w:ilvl w:val="0"/>
          <w:numId w:val="10"/>
        </w:numPr>
        <w:ind w:left="709" w:hanging="349"/>
      </w:pPr>
      <w:r w:rsidRPr="00621B83">
        <w:t xml:space="preserve">Да са пряко свързани с предмета на </w:t>
      </w:r>
      <w:r w:rsidR="00D94B2A" w:rsidRPr="00621B83">
        <w:t xml:space="preserve">договора за предоставяне на </w:t>
      </w:r>
      <w:r w:rsidRPr="00621B83">
        <w:t xml:space="preserve">БФП и да съответстват на одобрения бюджет за изпълнението на </w:t>
      </w:r>
      <w:r w:rsidR="00915FB8" w:rsidRPr="00621B83">
        <w:t>проекта</w:t>
      </w:r>
      <w:r w:rsidRPr="00621B83">
        <w:t xml:space="preserve">, съответно на бюджетното разпределение за конкретния партньор; </w:t>
      </w:r>
    </w:p>
    <w:p w14:paraId="2B2449CA" w14:textId="77777777" w:rsidR="001E2846" w:rsidRPr="00621B83" w:rsidRDefault="001E2846" w:rsidP="00300C41">
      <w:pPr>
        <w:numPr>
          <w:ilvl w:val="0"/>
          <w:numId w:val="10"/>
        </w:numPr>
        <w:ind w:left="709" w:hanging="349"/>
      </w:pPr>
      <w:r w:rsidRPr="00621B83">
        <w:t xml:space="preserve">Да са необходими и пропорционални на изпълнението на допустимите по </w:t>
      </w:r>
      <w:r w:rsidR="00915FB8" w:rsidRPr="00621B83">
        <w:t xml:space="preserve">проекта </w:t>
      </w:r>
      <w:r w:rsidRPr="00621B83">
        <w:t xml:space="preserve">дейности, а отчитането на изпълнените дейности да бъде документално обосновано; </w:t>
      </w:r>
    </w:p>
    <w:p w14:paraId="2A2F84D4" w14:textId="77777777" w:rsidR="001E2846" w:rsidRPr="00621B83" w:rsidRDefault="001E2846" w:rsidP="00300C41">
      <w:pPr>
        <w:numPr>
          <w:ilvl w:val="0"/>
          <w:numId w:val="10"/>
        </w:numPr>
        <w:ind w:left="709" w:hanging="349"/>
      </w:pPr>
      <w:r w:rsidRPr="00621B83">
        <w:t xml:space="preserve">Да са направени единствено и само с цел постигане на целите и очакваните резултати от изпълнението на </w:t>
      </w:r>
      <w:r w:rsidR="00915FB8" w:rsidRPr="00621B83">
        <w:t xml:space="preserve">проекта </w:t>
      </w:r>
      <w:r w:rsidRPr="00621B83">
        <w:t xml:space="preserve">по начин, съвместим с принципите на икономичност, ефикасност и ефективност; </w:t>
      </w:r>
    </w:p>
    <w:p w14:paraId="7C078690" w14:textId="77777777" w:rsidR="001E2846" w:rsidRPr="00621B83" w:rsidRDefault="001E2846" w:rsidP="00300C41">
      <w:pPr>
        <w:numPr>
          <w:ilvl w:val="0"/>
          <w:numId w:val="10"/>
        </w:numPr>
        <w:ind w:left="709" w:hanging="349"/>
      </w:pPr>
      <w:r w:rsidRPr="00621B83">
        <w:t xml:space="preserve">Да са удостоверени с необходимите разходооправдателни документи (фактури, договори или други счетоводни документи), документи за извършени плащания съгласно </w:t>
      </w:r>
      <w:r w:rsidR="00CE553C" w:rsidRPr="00621B83">
        <w:t xml:space="preserve">приложимото </w:t>
      </w:r>
      <w:r w:rsidRPr="00621B83">
        <w:t xml:space="preserve">законодателство, както и документи, доказващи извършването на </w:t>
      </w:r>
      <w:r w:rsidR="0056080C" w:rsidRPr="00621B83">
        <w:t>дейност</w:t>
      </w:r>
      <w:r w:rsidR="0059688A" w:rsidRPr="00621B83">
        <w:t>ите</w:t>
      </w:r>
      <w:r w:rsidRPr="00621B83">
        <w:t xml:space="preserve">; </w:t>
      </w:r>
    </w:p>
    <w:p w14:paraId="47C24271" w14:textId="77777777" w:rsidR="001E2846" w:rsidRPr="00621B83" w:rsidRDefault="001E2846" w:rsidP="00300C41">
      <w:pPr>
        <w:numPr>
          <w:ilvl w:val="0"/>
          <w:numId w:val="10"/>
        </w:numPr>
        <w:ind w:left="709" w:hanging="349"/>
      </w:pPr>
      <w:r w:rsidRPr="00621B83">
        <w:t xml:space="preserve">Да са отразени в счетоводните документи и регистри на Бенефициента или на неговия/ите Партньор/и в съответствие със Закона за счетоводството и приложимите счетоводни стандарти и принципи; </w:t>
      </w:r>
    </w:p>
    <w:p w14:paraId="027BB3E9" w14:textId="77777777" w:rsidR="001E2846" w:rsidRPr="00621B83" w:rsidRDefault="001E2846" w:rsidP="00300C41">
      <w:pPr>
        <w:numPr>
          <w:ilvl w:val="0"/>
          <w:numId w:val="10"/>
        </w:numPr>
        <w:ind w:left="709" w:hanging="349"/>
      </w:pPr>
      <w:r w:rsidRPr="00621B83">
        <w:t xml:space="preserve">Да отговарят на изискванията на данъчно-осигурителното законодателство; </w:t>
      </w:r>
    </w:p>
    <w:p w14:paraId="5EB1905D" w14:textId="77777777" w:rsidR="001E2846" w:rsidRPr="00621B83" w:rsidRDefault="001E2846" w:rsidP="00300C41">
      <w:pPr>
        <w:numPr>
          <w:ilvl w:val="0"/>
          <w:numId w:val="10"/>
        </w:numPr>
        <w:ind w:left="709" w:hanging="349"/>
      </w:pPr>
      <w:r w:rsidRPr="00621B83">
        <w:t xml:space="preserve">Системата за счетоводна отчетност и вътрешен контрол на Бенефициента и на неговите Партньори трябва да позволява директно идентифициране и проверка на декларираните приходи и разходи по Проекта. Приходите и разходите по </w:t>
      </w:r>
      <w:r w:rsidR="00F00B7C" w:rsidRPr="00621B83">
        <w:t xml:space="preserve">проекта </w:t>
      </w:r>
      <w:r w:rsidRPr="00621B83">
        <w:t xml:space="preserve">трябва да бъдат обособени отделно и да дават възможност за проследимост на всички стопански операции по проекта и изготвянето на самостоятелни отчети само за целите на проекта. </w:t>
      </w:r>
    </w:p>
    <w:p w14:paraId="5CFC2BC2" w14:textId="26315720" w:rsidR="00CE553C" w:rsidRPr="00621B83" w:rsidRDefault="00CE553C" w:rsidP="00DF2A21">
      <w:r w:rsidRPr="00621B83">
        <w:t xml:space="preserve">Разходите на </w:t>
      </w:r>
      <w:r w:rsidR="00D90089">
        <w:t>П</w:t>
      </w:r>
      <w:r w:rsidRPr="00621B83">
        <w:t>артньор от страна, различна от Република България, могат да бъдат доказани чрез:</w:t>
      </w:r>
    </w:p>
    <w:p w14:paraId="51279881" w14:textId="4DE82D35" w:rsidR="00CE553C" w:rsidRPr="00621B83" w:rsidRDefault="00CE553C" w:rsidP="00B62BA5">
      <w:pPr>
        <w:numPr>
          <w:ilvl w:val="0"/>
          <w:numId w:val="68"/>
        </w:numPr>
        <w:ind w:left="709" w:hanging="279"/>
      </w:pPr>
      <w:r w:rsidRPr="00621B83">
        <w:t>Доклад от независим одитор, квалифициран да извършва предвидени в закона одити на счетоводни документи, удостоверяващ, че претендираните разходи са извършени в съответствие с Регламент</w:t>
      </w:r>
      <w:r w:rsidR="00312B27">
        <w:t>а</w:t>
      </w:r>
      <w:r w:rsidRPr="00621B83">
        <w:t>, националното право и съответните национални счетоводни практики</w:t>
      </w:r>
      <w:r w:rsidR="00312B27">
        <w:t xml:space="preserve"> или</w:t>
      </w:r>
    </w:p>
    <w:p w14:paraId="77125D55" w14:textId="600F765E" w:rsidR="00CE553C" w:rsidRPr="00621B83" w:rsidRDefault="00CE553C" w:rsidP="00B62BA5">
      <w:pPr>
        <w:numPr>
          <w:ilvl w:val="0"/>
          <w:numId w:val="68"/>
        </w:numPr>
        <w:ind w:left="709" w:hanging="279"/>
      </w:pPr>
      <w:r w:rsidRPr="00621B83">
        <w:t xml:space="preserve">Доклад, издаден от компетентен и независим обществен служител, признат от съответните национални органи, като имащ възможност за контрол върху бюджета и финансите на субекта, извършващ разходите и който не е бил включен в подготовката на финансовите </w:t>
      </w:r>
      <w:r w:rsidRPr="00621B83">
        <w:lastRenderedPageBreak/>
        <w:t>отчети, удостоверяващ, че претендираните разходи са извършени в съответствие с Регламент</w:t>
      </w:r>
      <w:r w:rsidR="008F4780">
        <w:t>а</w:t>
      </w:r>
      <w:r w:rsidRPr="00621B83">
        <w:t>, съответните правни и национални счетоводни практики.</w:t>
      </w:r>
    </w:p>
    <w:p w14:paraId="1693893B" w14:textId="77777777" w:rsidR="00345878" w:rsidRPr="00716C51" w:rsidRDefault="00345878" w:rsidP="001E2846">
      <w:pPr>
        <w:pStyle w:val="ListParagraph1"/>
        <w:spacing w:after="120" w:line="360" w:lineRule="auto"/>
        <w:ind w:left="709"/>
        <w:rPr>
          <w:rFonts w:ascii="Verdana" w:hAnsi="Verdana"/>
          <w:sz w:val="20"/>
          <w:szCs w:val="20"/>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DE41B4" w:rsidRPr="00983251" w14:paraId="4886DE8B"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5045FF2" w14:textId="77777777" w:rsidR="00DE41B4" w:rsidRPr="00621B83" w:rsidRDefault="00DE41B4" w:rsidP="0014755F">
            <w:pPr>
              <w:rPr>
                <w:b/>
              </w:rPr>
            </w:pPr>
            <w:r w:rsidRPr="00621B83">
              <w:rPr>
                <w:b/>
              </w:rPr>
              <w:t>ВАЖНО!</w:t>
            </w:r>
          </w:p>
          <w:p w14:paraId="03E193A5" w14:textId="77777777" w:rsidR="00DE41B4" w:rsidRPr="00621B83" w:rsidRDefault="00300C41" w:rsidP="00705A73">
            <w:pPr>
              <w:rPr>
                <w:b/>
              </w:rPr>
            </w:pPr>
            <w:r w:rsidRPr="00621B83">
              <w:rPr>
                <w:b/>
              </w:rPr>
              <w:t xml:space="preserve">Бюджетът (т. 5 от Формуляра за кандидатстване) във Формуляра за кандидатстване трябва да отразява допустимите разходи. </w:t>
            </w:r>
            <w:r w:rsidR="00DE41B4" w:rsidRPr="00621B83">
              <w:rPr>
                <w:b/>
              </w:rPr>
              <w:t xml:space="preserve">Разход, който не е обоснован, ще бъде премахнат от бюджета на проекта служебно </w:t>
            </w:r>
            <w:r w:rsidR="00B67173" w:rsidRPr="00621B83">
              <w:rPr>
                <w:b/>
              </w:rPr>
              <w:t>на</w:t>
            </w:r>
            <w:r w:rsidR="009D0C25" w:rsidRPr="00621B83">
              <w:rPr>
                <w:b/>
              </w:rPr>
              <w:t xml:space="preserve"> етап техническа и финансова оценка. Същото важи и за разходи, по отношение на които се установи наличие на двойно финансиране</w:t>
            </w:r>
            <w:r w:rsidR="00DE41B4" w:rsidRPr="00621B83">
              <w:rPr>
                <w:b/>
              </w:rPr>
              <w:t>. В случаите, когато Оценителната комисия премахне всички разходи</w:t>
            </w:r>
            <w:r w:rsidR="002F5F4A" w:rsidRPr="00621B83">
              <w:rPr>
                <w:b/>
              </w:rPr>
              <w:t xml:space="preserve"> за мерки за енергийна ефективност</w:t>
            </w:r>
            <w:r w:rsidR="00DE41B4" w:rsidRPr="00621B83">
              <w:rPr>
                <w:b/>
              </w:rPr>
              <w:t xml:space="preserve"> от бюджета на проекта, проектното предложение се отхвърля.</w:t>
            </w:r>
          </w:p>
          <w:p w14:paraId="7FE9D46A" w14:textId="77777777" w:rsidR="005A08B1" w:rsidRPr="00621B83" w:rsidRDefault="00E83868" w:rsidP="00E53A05">
            <w:pPr>
              <w:rPr>
                <w:b/>
              </w:rPr>
            </w:pPr>
            <w:r w:rsidRPr="00621B83">
              <w:rPr>
                <w:b/>
              </w:rPr>
              <w:t>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 (виж т. 17.</w:t>
            </w:r>
            <w:r w:rsidR="00300C41" w:rsidRPr="00621B83">
              <w:rPr>
                <w:b/>
              </w:rPr>
              <w:t>3</w:t>
            </w:r>
            <w:r w:rsidRPr="00621B83">
              <w:rPr>
                <w:b/>
              </w:rPr>
              <w:t xml:space="preserve"> Техническа и финансова оценка).</w:t>
            </w:r>
          </w:p>
        </w:tc>
      </w:tr>
    </w:tbl>
    <w:p w14:paraId="79145408" w14:textId="77777777" w:rsidR="00DE41B4" w:rsidRPr="00621B83" w:rsidRDefault="00DE41B4" w:rsidP="006042F8"/>
    <w:p w14:paraId="1BE8B96F" w14:textId="77777777" w:rsidR="000951D9" w:rsidRPr="00621B83" w:rsidRDefault="000951D9" w:rsidP="000951D9">
      <w:r w:rsidRPr="00621B83">
        <w:t xml:space="preserve">Разходите се считат за възникнали, когато са били фактурирани, платени и предметът им е бил изпълнен. По изключение, разходи за които е издадена фактура през последния месец на допустимост, също ще се считат за извършени в периода за допустимост, ако са изплатени до 30 дни след крайната дата на допустимост на разходите по проекта. </w:t>
      </w:r>
      <w:r w:rsidR="009838B6" w:rsidRPr="00621B83">
        <w:t>Счетоводните принципи и процедури на Бенефициента трябва да са организирани така, че да позволяват аналитично осчетоводяване на полученото финансиране и разходите по Проекта и лесен достъп до първичните счетоводни документи.</w:t>
      </w:r>
    </w:p>
    <w:p w14:paraId="4A1E9AFC" w14:textId="77777777" w:rsidR="0011162A" w:rsidRPr="00621B83" w:rsidRDefault="0011162A" w:rsidP="006042F8">
      <w:r w:rsidRPr="00621B83">
        <w:t>Изискванията за допустимост на разходите, видовете допустими разходи и начините за доказването им са описани в проекта на Общи условия към договора за БФП.</w:t>
      </w:r>
    </w:p>
    <w:p w14:paraId="132C9037" w14:textId="77777777" w:rsidR="009838B6" w:rsidRPr="00621B83" w:rsidRDefault="009838B6" w:rsidP="009838B6"/>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D3954" w:rsidRPr="00983251" w14:paraId="6496A5C6"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FA53937" w14:textId="77777777" w:rsidR="003D3954" w:rsidRPr="00621B83" w:rsidRDefault="003D3954" w:rsidP="003D3954">
            <w:pPr>
              <w:rPr>
                <w:b/>
              </w:rPr>
            </w:pPr>
            <w:r w:rsidRPr="00621B83">
              <w:rPr>
                <w:b/>
              </w:rPr>
              <w:t>ВАЖНО!</w:t>
            </w:r>
          </w:p>
          <w:p w14:paraId="7090C566" w14:textId="77777777" w:rsidR="003D3954" w:rsidRPr="00621B83" w:rsidRDefault="003D3954" w:rsidP="003D3954">
            <w:pPr>
              <w:rPr>
                <w:b/>
              </w:rPr>
            </w:pPr>
            <w:r w:rsidRPr="00621B83">
              <w:t>Разходите</w:t>
            </w:r>
            <w:r w:rsidRPr="00621B83">
              <w:rPr>
                <w:b/>
              </w:rPr>
              <w:t xml:space="preserve">, </w:t>
            </w:r>
            <w:r w:rsidRPr="00621B83">
              <w:t>свързани с покупка на оборудване са допустими при услови</w:t>
            </w:r>
            <w:r w:rsidR="0056532D" w:rsidRPr="00621B83">
              <w:t>е, че</w:t>
            </w:r>
            <w:r w:rsidRPr="00621B83">
              <w:t>:</w:t>
            </w:r>
          </w:p>
          <w:p w14:paraId="7CF1D2C3" w14:textId="77777777" w:rsidR="004A61E9" w:rsidRPr="00621B83" w:rsidRDefault="003D3954" w:rsidP="003D3954">
            <w:r w:rsidRPr="00621B83">
              <w:t>(а) осигур</w:t>
            </w:r>
            <w:r w:rsidR="0056532D" w:rsidRPr="00621B83">
              <w:t xml:space="preserve">яват </w:t>
            </w:r>
            <w:r w:rsidRPr="00621B83">
              <w:t xml:space="preserve">устойчивост на резултатите по </w:t>
            </w:r>
            <w:r w:rsidR="00761A47" w:rsidRPr="00621B83">
              <w:t xml:space="preserve">договора </w:t>
            </w:r>
            <w:r w:rsidRPr="00621B83">
              <w:t>за</w:t>
            </w:r>
            <w:r w:rsidR="00761A47" w:rsidRPr="00621B83">
              <w:t xml:space="preserve"> предоставяне на БФП за</w:t>
            </w:r>
            <w:r w:rsidRPr="00621B83">
              <w:t xml:space="preserve"> срок от минимум 5 години след приключване изпълнението на </w:t>
            </w:r>
            <w:r w:rsidR="00BE17E2" w:rsidRPr="00621B83">
              <w:t>проекта</w:t>
            </w:r>
            <w:r w:rsidRPr="00621B83">
              <w:t xml:space="preserve">. </w:t>
            </w:r>
          </w:p>
          <w:p w14:paraId="642F74A7" w14:textId="5F6928CB" w:rsidR="003D3954" w:rsidRPr="00621B83" w:rsidRDefault="003D3954" w:rsidP="003D3954">
            <w:r w:rsidRPr="00621B83">
              <w:t xml:space="preserve">В рамките на този срок Бенефициентът е длъжен да изпълнява задължението си да не прехвърля правото на собственост върху обекта, изграден в резултат на инвестицията по </w:t>
            </w:r>
            <w:r w:rsidR="00A15FAB" w:rsidRPr="00621B83">
              <w:t>договор</w:t>
            </w:r>
            <w:r w:rsidR="004A61E9" w:rsidRPr="00621B83">
              <w:t>а за предоставяне на БФП</w:t>
            </w:r>
            <w:r w:rsidRPr="00621B83">
              <w:t xml:space="preserve">, да не променя предназначението на активите, придобити в резултат на изпълнението на </w:t>
            </w:r>
            <w:r w:rsidR="00A15FAB" w:rsidRPr="00621B83">
              <w:t>проекта</w:t>
            </w:r>
            <w:r w:rsidRPr="00621B83">
              <w:t>, както и да не сключва договори от всякакъв характер с трети лица и/или</w:t>
            </w:r>
            <w:r w:rsidR="004A61E9" w:rsidRPr="00621B83">
              <w:t xml:space="preserve"> да</w:t>
            </w:r>
            <w:r w:rsidRPr="00621B83">
              <w:t xml:space="preserve"> извършва други действия, които биха могли да доведат до значително изменение в резултатите от Проекта</w:t>
            </w:r>
            <w:r w:rsidR="00DC3F86" w:rsidRPr="00621B83">
              <w:t>.</w:t>
            </w:r>
            <w:r w:rsidRPr="00621B83">
              <w:t xml:space="preserve"> </w:t>
            </w:r>
            <w:r w:rsidR="00CC12E3">
              <w:t xml:space="preserve">За посочения срок </w:t>
            </w:r>
            <w:r w:rsidR="00CC12E3" w:rsidRPr="00621B83">
              <w:t>Бенефициентът</w:t>
            </w:r>
            <w:r w:rsidR="00CC12E3">
              <w:t>:</w:t>
            </w:r>
          </w:p>
          <w:p w14:paraId="0B9B2794" w14:textId="4C7107DD" w:rsidR="003D3954" w:rsidRPr="00621B83" w:rsidRDefault="003D3954" w:rsidP="003D3954">
            <w:r w:rsidRPr="00621B83">
              <w:t xml:space="preserve">(б) </w:t>
            </w:r>
            <w:r w:rsidR="00051AF0" w:rsidRPr="00621B83">
              <w:t xml:space="preserve">ще </w:t>
            </w:r>
            <w:r w:rsidRPr="00621B83">
              <w:t xml:space="preserve">застрахова </w:t>
            </w:r>
            <w:r w:rsidR="00A75270" w:rsidRPr="00621B83">
              <w:t>системата</w:t>
            </w:r>
            <w:r w:rsidR="00051AF0" w:rsidRPr="00621B83">
              <w:t>/ите</w:t>
            </w:r>
            <w:r w:rsidR="00A75270" w:rsidRPr="00621B83">
              <w:t xml:space="preserve"> за външно изкуствено осветление</w:t>
            </w:r>
            <w:r w:rsidRPr="00621B83">
              <w:t xml:space="preserve"> срещу кражби, умишлени действия на трети лица, пожар и други природни бедствия и други относими рискове за периода на </w:t>
            </w:r>
            <w:r w:rsidR="00A15FAB" w:rsidRPr="00621B83">
              <w:lastRenderedPageBreak/>
              <w:t xml:space="preserve">проекта </w:t>
            </w:r>
            <w:r w:rsidRPr="00621B83">
              <w:t xml:space="preserve">и за минимум 5 години след приключване изпълнението на </w:t>
            </w:r>
            <w:r w:rsidR="00A15FAB" w:rsidRPr="00621B83">
              <w:t>п</w:t>
            </w:r>
            <w:r w:rsidRPr="00621B83">
              <w:t xml:space="preserve">роекта и </w:t>
            </w:r>
          </w:p>
          <w:p w14:paraId="5A4A045F" w14:textId="77777777" w:rsidR="003D3954" w:rsidRPr="00621B83" w:rsidRDefault="003D3954" w:rsidP="00051AF0">
            <w:pPr>
              <w:rPr>
                <w:b/>
              </w:rPr>
            </w:pPr>
            <w:r w:rsidRPr="00621B83">
              <w:t xml:space="preserve">(в) </w:t>
            </w:r>
            <w:r w:rsidR="00051AF0" w:rsidRPr="00621B83">
              <w:t xml:space="preserve">ще </w:t>
            </w:r>
            <w:r w:rsidRPr="00621B83">
              <w:t>осигурява подходящи ресурси за поддръжката на</w:t>
            </w:r>
            <w:r w:rsidR="006A1D7A" w:rsidRPr="00621B83">
              <w:t xml:space="preserve"> финансираната/ите система/и за</w:t>
            </w:r>
            <w:r w:rsidRPr="00621B83">
              <w:t xml:space="preserve"> </w:t>
            </w:r>
            <w:r w:rsidR="00A75270" w:rsidRPr="00621B83">
              <w:t>външно изкуствено осветление</w:t>
            </w:r>
            <w:r w:rsidRPr="00621B83">
              <w:t>.</w:t>
            </w:r>
          </w:p>
        </w:tc>
      </w:tr>
    </w:tbl>
    <w:p w14:paraId="0262810A" w14:textId="77777777" w:rsidR="003D3954" w:rsidRPr="00621B83" w:rsidRDefault="003D3954" w:rsidP="006042F8"/>
    <w:p w14:paraId="17FD0386" w14:textId="77777777" w:rsidR="00F30DCC" w:rsidRPr="00716C51" w:rsidRDefault="00D37B67" w:rsidP="00C021CC">
      <w:pPr>
        <w:pStyle w:val="Heading2"/>
      </w:pPr>
      <w:bookmarkStart w:id="36" w:name="_Toc24983846"/>
      <w:r w:rsidRPr="00716C51">
        <w:t>ДОПУСТИМИ РАЗХОДИ</w:t>
      </w:r>
      <w:bookmarkEnd w:id="36"/>
    </w:p>
    <w:p w14:paraId="607CE992" w14:textId="77777777" w:rsidR="002B4B2A" w:rsidRPr="00621B83" w:rsidRDefault="002B4B2A" w:rsidP="002B4B2A">
      <w:pPr>
        <w:pStyle w:val="Heading3"/>
      </w:pPr>
      <w:bookmarkStart w:id="37" w:name="_Toc24983847"/>
      <w:r w:rsidRPr="00621B83">
        <w:t>Допустими преки разходи</w:t>
      </w:r>
      <w:bookmarkEnd w:id="37"/>
    </w:p>
    <w:p w14:paraId="3319783B" w14:textId="2FDFB769" w:rsidR="00CB4824" w:rsidRPr="00621B83" w:rsidRDefault="00CB4824" w:rsidP="00CB4824">
      <w:r w:rsidRPr="00621B83">
        <w:t>Допустимите преки разходи за проекта са разходи</w:t>
      </w:r>
      <w:r w:rsidR="008C2D37" w:rsidRPr="00621B83">
        <w:t>те</w:t>
      </w:r>
      <w:r w:rsidRPr="00621B83">
        <w:t xml:space="preserve">, </w:t>
      </w:r>
      <w:r w:rsidR="008C2D37" w:rsidRPr="00621B83">
        <w:t>реализирани</w:t>
      </w:r>
      <w:r w:rsidRPr="00621B83">
        <w:t xml:space="preserve"> от </w:t>
      </w:r>
      <w:r w:rsidR="006A1D7A" w:rsidRPr="00621B83">
        <w:t xml:space="preserve">Бенефициента </w:t>
      </w:r>
      <w:r w:rsidRPr="00621B83">
        <w:t xml:space="preserve">и/или от </w:t>
      </w:r>
      <w:r w:rsidR="006A1D7A" w:rsidRPr="00621B83">
        <w:t>Партньора</w:t>
      </w:r>
      <w:r w:rsidR="008C2D37" w:rsidRPr="00621B83">
        <w:t xml:space="preserve"> по Проекта</w:t>
      </w:r>
      <w:r w:rsidRPr="00621B83">
        <w:t xml:space="preserve">, </w:t>
      </w:r>
      <w:r w:rsidR="008C2D37" w:rsidRPr="00621B83">
        <w:t xml:space="preserve">осчетоводени </w:t>
      </w:r>
      <w:r w:rsidR="00826B91" w:rsidRPr="00621B83">
        <w:t>в съответствие с</w:t>
      </w:r>
      <w:r w:rsidRPr="00621B83">
        <w:t xml:space="preserve"> обичайните</w:t>
      </w:r>
      <w:r w:rsidR="00826B91" w:rsidRPr="00621B83">
        <w:t xml:space="preserve"> счетоводни принципи</w:t>
      </w:r>
      <w:r w:rsidRPr="00621B83">
        <w:t xml:space="preserve"> и вътрешни </w:t>
      </w:r>
      <w:r w:rsidR="00826B91" w:rsidRPr="00621B83">
        <w:t>правила</w:t>
      </w:r>
      <w:r w:rsidR="008F1AA9" w:rsidRPr="00621B83">
        <w:t xml:space="preserve"> на организацията</w:t>
      </w:r>
      <w:r w:rsidRPr="00621B83">
        <w:t xml:space="preserve">, като разходи, </w:t>
      </w:r>
      <w:r w:rsidR="008F1AA9" w:rsidRPr="00621B83">
        <w:t xml:space="preserve">пряко свързани с изпълнението на </w:t>
      </w:r>
      <w:r w:rsidR="00553A7D">
        <w:t>п</w:t>
      </w:r>
      <w:r w:rsidR="00553A7D" w:rsidRPr="00621B83">
        <w:t>роекта</w:t>
      </w:r>
      <w:r w:rsidR="008F1AA9" w:rsidRPr="00621B83">
        <w:t>, които могат да бъдат директно отчетени към него</w:t>
      </w:r>
      <w:r w:rsidRPr="00621B83">
        <w:t xml:space="preserve">. Посочените по-долу преки разходи са допустими при условие, че отговарят на критериите, посочени в </w:t>
      </w:r>
      <w:r w:rsidR="009D7558" w:rsidRPr="00621B83">
        <w:t xml:space="preserve">точка </w:t>
      </w:r>
      <w:r w:rsidR="00D41B56" w:rsidRPr="00621B83">
        <w:t>13</w:t>
      </w:r>
      <w:r w:rsidR="009D7558" w:rsidRPr="00621B83">
        <w:t>.1</w:t>
      </w:r>
      <w:r w:rsidRPr="00621B83">
        <w:t>:</w:t>
      </w:r>
    </w:p>
    <w:p w14:paraId="73264260" w14:textId="77C89B04" w:rsidR="001C1A22" w:rsidRPr="00621B83" w:rsidRDefault="001C1A22" w:rsidP="00DF2A21">
      <w:pPr>
        <w:pStyle w:val="ListParagraph"/>
        <w:numPr>
          <w:ilvl w:val="0"/>
          <w:numId w:val="64"/>
        </w:numPr>
        <w:autoSpaceDE w:val="0"/>
        <w:autoSpaceDN w:val="0"/>
        <w:adjustRightInd w:val="0"/>
        <w:spacing w:after="0"/>
        <w:ind w:left="709" w:hanging="272"/>
      </w:pPr>
      <w:r w:rsidRPr="00621B83">
        <w:t xml:space="preserve">Разходи за персонал, работещ по </w:t>
      </w:r>
      <w:r w:rsidR="00553A7D">
        <w:t>п</w:t>
      </w:r>
      <w:r w:rsidRPr="00621B83">
        <w:t>роекта, състоящи се от действителни заплати, вноски за социално осигуряване и други разходи по закон, включени във възнаграждението, ако това съвпада с обичайната политика на Бенефициента, съответно на Партньора, по отношение на възнагражденията. Разходите за възнаграждения на персонала са допустими, доколкото са свързани с изпълнението на дейности, които Бенефициентът не би извършвал, ако съответният роект не се изпълнява;</w:t>
      </w:r>
    </w:p>
    <w:p w14:paraId="1DCD6000" w14:textId="77777777" w:rsidR="001C1A22" w:rsidRPr="00621B83" w:rsidRDefault="001C1A22" w:rsidP="00DF2A21">
      <w:pPr>
        <w:pStyle w:val="ListParagraph"/>
        <w:numPr>
          <w:ilvl w:val="0"/>
          <w:numId w:val="64"/>
        </w:numPr>
        <w:autoSpaceDE w:val="0"/>
        <w:autoSpaceDN w:val="0"/>
        <w:adjustRightInd w:val="0"/>
        <w:spacing w:after="0"/>
        <w:ind w:left="709" w:hanging="272"/>
      </w:pPr>
      <w:r w:rsidRPr="00621B83">
        <w:t xml:space="preserve">Пътни, дневни и квартирни разходи за </w:t>
      </w:r>
      <w:r w:rsidR="004B194C" w:rsidRPr="00621B83">
        <w:t xml:space="preserve">персонала </w:t>
      </w:r>
      <w:r w:rsidRPr="00621B83">
        <w:t>на Бенефициента и на Партньора</w:t>
      </w:r>
      <w:r w:rsidR="004B194C" w:rsidRPr="00621B83">
        <w:t>;</w:t>
      </w:r>
    </w:p>
    <w:p w14:paraId="6AE8B50B" w14:textId="77777777" w:rsidR="009578BF" w:rsidRPr="00621B83" w:rsidRDefault="001C1A22" w:rsidP="00DF2A21">
      <w:pPr>
        <w:pStyle w:val="ListParagraph"/>
        <w:numPr>
          <w:ilvl w:val="0"/>
          <w:numId w:val="64"/>
        </w:numPr>
        <w:autoSpaceDE w:val="0"/>
        <w:autoSpaceDN w:val="0"/>
        <w:adjustRightInd w:val="0"/>
        <w:spacing w:after="0"/>
        <w:ind w:left="709" w:hanging="272"/>
      </w:pPr>
      <w:r w:rsidRPr="00621B83">
        <w:t xml:space="preserve">Разходи по договори с външни изпълнители, свързани с дейностите по </w:t>
      </w:r>
      <w:r w:rsidR="00085B08" w:rsidRPr="00621B83">
        <w:t>реконструкция и модернизация на системата/ите за външно изкуствено осветление</w:t>
      </w:r>
      <w:r w:rsidR="0007702F" w:rsidRPr="00621B83">
        <w:t>. В тези разходи се включват:</w:t>
      </w:r>
    </w:p>
    <w:p w14:paraId="7C76470D" w14:textId="77777777" w:rsidR="009578BF" w:rsidRPr="00621B83" w:rsidRDefault="0007702F" w:rsidP="00621B83">
      <w:pPr>
        <w:pStyle w:val="ListParagraph"/>
        <w:numPr>
          <w:ilvl w:val="0"/>
          <w:numId w:val="65"/>
        </w:numPr>
        <w:autoSpaceDE w:val="0"/>
        <w:autoSpaceDN w:val="0"/>
        <w:adjustRightInd w:val="0"/>
        <w:spacing w:after="0"/>
      </w:pPr>
      <w:r w:rsidRPr="00621B83">
        <w:t>разходи</w:t>
      </w:r>
      <w:r w:rsidR="00514522" w:rsidRPr="00621B83">
        <w:t xml:space="preserve"> </w:t>
      </w:r>
      <w:r w:rsidR="009578BF" w:rsidRPr="00621B83">
        <w:t>за демонтаж на съществуващи осветители, проводници, кабели и средства за управление, измерване и контрол;</w:t>
      </w:r>
    </w:p>
    <w:p w14:paraId="6090B8D4" w14:textId="77777777" w:rsidR="009578BF" w:rsidRPr="00621B83" w:rsidRDefault="009578BF" w:rsidP="00621B83">
      <w:pPr>
        <w:pStyle w:val="ListParagraph"/>
        <w:numPr>
          <w:ilvl w:val="0"/>
          <w:numId w:val="65"/>
        </w:numPr>
        <w:autoSpaceDE w:val="0"/>
        <w:autoSpaceDN w:val="0"/>
        <w:adjustRightInd w:val="0"/>
        <w:spacing w:after="0"/>
      </w:pPr>
      <w:r w:rsidRPr="00621B83">
        <w:t xml:space="preserve">разходите за доставка на нови осветители; </w:t>
      </w:r>
    </w:p>
    <w:p w14:paraId="2B0F87A4"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доставка на нови проводници и кабели;</w:t>
      </w:r>
    </w:p>
    <w:p w14:paraId="0DD36444"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доставка</w:t>
      </w:r>
      <w:r w:rsidR="00D90BF6" w:rsidRPr="00621B83">
        <w:t xml:space="preserve"> и монтаж</w:t>
      </w:r>
      <w:r w:rsidRPr="00621B83">
        <w:t xml:space="preserve"> на съоръжение/я за производство и съхранение на електрическа енергия от възобновяеми източници за собствено потребление в система за външно изкуствено осветление;</w:t>
      </w:r>
    </w:p>
    <w:p w14:paraId="01BA3556"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монтаж на нови осветители, проводници и кабели;</w:t>
      </w:r>
    </w:p>
    <w:p w14:paraId="5F9CD34C"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строително монтажни работи, пряко свързани с реконструкцията на системата/ите за външно изкуствено осветление;</w:t>
      </w:r>
    </w:p>
    <w:p w14:paraId="1E62E727" w14:textId="77777777" w:rsidR="009578BF" w:rsidRPr="00621B83" w:rsidRDefault="009578BF" w:rsidP="00621B83">
      <w:pPr>
        <w:pStyle w:val="ListParagraph"/>
        <w:numPr>
          <w:ilvl w:val="0"/>
          <w:numId w:val="65"/>
        </w:numPr>
        <w:autoSpaceDE w:val="0"/>
        <w:autoSpaceDN w:val="0"/>
        <w:adjustRightInd w:val="0"/>
        <w:spacing w:after="0"/>
      </w:pPr>
      <w:r w:rsidRPr="00621B83">
        <w:t xml:space="preserve">разходи за </w:t>
      </w:r>
      <w:r w:rsidR="00D90BF6" w:rsidRPr="00621B83">
        <w:t>доставка и монтаж</w:t>
      </w:r>
      <w:r w:rsidRPr="00621B83">
        <w:t xml:space="preserve"> на нови средства за управление, измерване и контрол, в т.ч. въвеждане или свързване към съществуваща система за автоматизация и управление на системата за външно изкуствено осветление;</w:t>
      </w:r>
    </w:p>
    <w:p w14:paraId="534A73CC" w14:textId="77777777" w:rsidR="000C02CB" w:rsidRPr="00621B83" w:rsidRDefault="009578BF" w:rsidP="00621B83">
      <w:pPr>
        <w:pStyle w:val="ListParagraph"/>
        <w:numPr>
          <w:ilvl w:val="0"/>
          <w:numId w:val="65"/>
        </w:numPr>
        <w:autoSpaceDE w:val="0"/>
        <w:autoSpaceDN w:val="0"/>
        <w:adjustRightInd w:val="0"/>
        <w:spacing w:after="0"/>
      </w:pPr>
      <w:r w:rsidRPr="00621B83">
        <w:t>разходите за изготвяне на работен проект, в случай на кандидатстване по Вариант 2;</w:t>
      </w:r>
      <w:r w:rsidR="000C02CB" w:rsidRPr="00621B83">
        <w:t xml:space="preserve"> </w:t>
      </w:r>
    </w:p>
    <w:p w14:paraId="6A492E86" w14:textId="77777777" w:rsidR="000C02CB" w:rsidRPr="00621B83" w:rsidRDefault="000C02CB" w:rsidP="00621B83">
      <w:pPr>
        <w:pStyle w:val="ListParagraph"/>
        <w:numPr>
          <w:ilvl w:val="0"/>
          <w:numId w:val="65"/>
        </w:numPr>
        <w:autoSpaceDE w:val="0"/>
        <w:autoSpaceDN w:val="0"/>
        <w:adjustRightInd w:val="0"/>
        <w:spacing w:after="0"/>
      </w:pPr>
      <w:r w:rsidRPr="00621B83">
        <w:t>разходите за строителен надзор;</w:t>
      </w:r>
    </w:p>
    <w:p w14:paraId="148ACD95" w14:textId="77777777" w:rsidR="009578BF" w:rsidRDefault="005A4208" w:rsidP="00621B83">
      <w:pPr>
        <w:pStyle w:val="ListParagraph"/>
        <w:numPr>
          <w:ilvl w:val="0"/>
          <w:numId w:val="65"/>
        </w:numPr>
        <w:autoSpaceDE w:val="0"/>
        <w:autoSpaceDN w:val="0"/>
        <w:adjustRightInd w:val="0"/>
        <w:spacing w:after="0"/>
      </w:pPr>
      <w:r w:rsidRPr="00621B83">
        <w:t>разходите за авторски надзор.</w:t>
      </w:r>
    </w:p>
    <w:p w14:paraId="7556B53F" w14:textId="77777777" w:rsidR="0001597D" w:rsidRPr="00621B83" w:rsidRDefault="0001597D" w:rsidP="0001597D">
      <w:pPr>
        <w:pStyle w:val="ListParagraph"/>
        <w:autoSpaceDE w:val="0"/>
        <w:autoSpaceDN w:val="0"/>
        <w:adjustRightInd w:val="0"/>
        <w:spacing w:after="0"/>
        <w:ind w:left="1440"/>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615B44" w:rsidRPr="00983251" w14:paraId="72650950" w14:textId="77777777" w:rsidTr="00E5491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2BFD8D1F" w14:textId="77777777" w:rsidR="00615B44" w:rsidRPr="00621B83" w:rsidRDefault="00615B44" w:rsidP="00E5491D">
            <w:pPr>
              <w:rPr>
                <w:b/>
              </w:rPr>
            </w:pPr>
            <w:r w:rsidRPr="00621B83">
              <w:rPr>
                <w:b/>
              </w:rPr>
              <w:t>ВАЖНО!</w:t>
            </w:r>
          </w:p>
          <w:p w14:paraId="391B9662" w14:textId="59A876CD" w:rsidR="00615B44" w:rsidRPr="00621B83" w:rsidRDefault="00615B44" w:rsidP="00553A7D">
            <w:pPr>
              <w:pStyle w:val="ListParagraph"/>
              <w:autoSpaceDE w:val="0"/>
              <w:autoSpaceDN w:val="0"/>
              <w:adjustRightInd w:val="0"/>
              <w:spacing w:after="0"/>
              <w:ind w:left="0"/>
              <w:rPr>
                <w:b/>
              </w:rPr>
            </w:pPr>
            <w:r w:rsidRPr="00621B83">
              <w:t xml:space="preserve">Разходите за оборудване са допустими в размер на частта от амортизацията, която съответства на </w:t>
            </w:r>
            <w:r w:rsidRPr="00621B83">
              <w:lastRenderedPageBreak/>
              <w:t xml:space="preserve">продължителността на </w:t>
            </w:r>
            <w:r w:rsidR="00553A7D">
              <w:t>п</w:t>
            </w:r>
            <w:r w:rsidR="00553A7D" w:rsidRPr="00621B83">
              <w:t xml:space="preserve">роекта </w:t>
            </w:r>
            <w:r w:rsidRPr="00621B83">
              <w:t xml:space="preserve">и степента на действително използване за целите на </w:t>
            </w:r>
            <w:r w:rsidR="00553A7D">
              <w:t>п</w:t>
            </w:r>
            <w:r w:rsidR="00553A7D" w:rsidRPr="00621B83">
              <w:t>роекта</w:t>
            </w:r>
            <w:r w:rsidRPr="00621B83">
              <w:t xml:space="preserve">. </w:t>
            </w:r>
            <w:r w:rsidRPr="00621B83">
              <w:rPr>
                <w:b/>
              </w:rPr>
              <w:t xml:space="preserve">Когато оборудването е неделимо и необходимо условие за постигане на целите и резултатите по </w:t>
            </w:r>
            <w:r w:rsidR="00553A7D">
              <w:rPr>
                <w:b/>
              </w:rPr>
              <w:t>п</w:t>
            </w:r>
            <w:r w:rsidR="00553A7D" w:rsidRPr="00621B83">
              <w:rPr>
                <w:b/>
              </w:rPr>
              <w:t>роекта</w:t>
            </w:r>
            <w:r w:rsidRPr="00621B83">
              <w:rPr>
                <w:b/>
              </w:rPr>
              <w:t>, цялата стойност на разходите за оборудване е допустима</w:t>
            </w:r>
            <w:r w:rsidRPr="00621B83">
              <w:t>.</w:t>
            </w:r>
          </w:p>
        </w:tc>
      </w:tr>
    </w:tbl>
    <w:p w14:paraId="2923287E" w14:textId="77777777" w:rsidR="00615B44" w:rsidRPr="00621B83" w:rsidRDefault="00615B44" w:rsidP="00621B83">
      <w:pPr>
        <w:pStyle w:val="ListParagraph"/>
        <w:autoSpaceDE w:val="0"/>
        <w:autoSpaceDN w:val="0"/>
        <w:adjustRightInd w:val="0"/>
        <w:spacing w:after="0"/>
        <w:ind w:left="0"/>
      </w:pPr>
    </w:p>
    <w:p w14:paraId="44D528F0" w14:textId="77777777" w:rsidR="00A4407D" w:rsidRPr="00621B83" w:rsidRDefault="00A4407D" w:rsidP="00DF2A21">
      <w:pPr>
        <w:pStyle w:val="ListParagraph"/>
        <w:numPr>
          <w:ilvl w:val="0"/>
          <w:numId w:val="64"/>
        </w:numPr>
        <w:autoSpaceDE w:val="0"/>
        <w:autoSpaceDN w:val="0"/>
        <w:adjustRightInd w:val="0"/>
        <w:spacing w:after="0"/>
        <w:ind w:left="709" w:hanging="272"/>
      </w:pPr>
      <w:r w:rsidRPr="00621B83">
        <w:t>Други преки разходи</w:t>
      </w:r>
      <w:r w:rsidR="00085B08" w:rsidRPr="00621B83">
        <w:t xml:space="preserve"> по договори с външни изпълнители</w:t>
      </w:r>
      <w:r w:rsidR="000C02CB" w:rsidRPr="00621B83">
        <w:t>:</w:t>
      </w:r>
      <w:r w:rsidRPr="00621B83">
        <w:t xml:space="preserve"> </w:t>
      </w:r>
    </w:p>
    <w:p w14:paraId="40905DBF" w14:textId="77777777" w:rsidR="00A4407D" w:rsidRPr="00621B83" w:rsidRDefault="00A4407D" w:rsidP="00615B44">
      <w:pPr>
        <w:ind w:left="11"/>
      </w:pPr>
      <w:r w:rsidRPr="00621B83">
        <w:t xml:space="preserve">Разходи, произтичащи пряко от </w:t>
      </w:r>
      <w:r w:rsidR="008642C2" w:rsidRPr="00621B83">
        <w:t>допустимите дейности</w:t>
      </w:r>
      <w:r w:rsidR="00085B08" w:rsidRPr="00621B83">
        <w:t xml:space="preserve"> </w:t>
      </w:r>
      <w:r w:rsidR="008642C2" w:rsidRPr="00621B83">
        <w:t>по проекта</w:t>
      </w:r>
      <w:r w:rsidR="00085B08" w:rsidRPr="00621B83">
        <w:t xml:space="preserve"> (</w:t>
      </w:r>
      <w:r w:rsidR="00140FB2" w:rsidRPr="00621B83">
        <w:t>разходите за превод</w:t>
      </w:r>
      <w:r w:rsidR="00D10CAD" w:rsidRPr="00621B83">
        <w:t>, одит, за дейности за информираност и публичност, разходи за обмен на опит, знания и най-добри практики на управленско и експертно ниво, предоставени от Партньора</w:t>
      </w:r>
      <w:r w:rsidR="00AD7041" w:rsidRPr="00621B83">
        <w:t xml:space="preserve"> и др.)</w:t>
      </w:r>
      <w:r w:rsidR="008C31D7" w:rsidRPr="00621B83">
        <w:t>.</w:t>
      </w:r>
    </w:p>
    <w:p w14:paraId="4B71AD7B" w14:textId="77777777" w:rsidR="00F4043C" w:rsidRPr="00621B83" w:rsidRDefault="00F4043C" w:rsidP="003C4D0E">
      <w:pPr>
        <w:ind w:left="709"/>
      </w:pPr>
    </w:p>
    <w:p w14:paraId="63192D82" w14:textId="77777777" w:rsidR="00E951FB" w:rsidRPr="00621B83" w:rsidRDefault="00E951FB" w:rsidP="00E951FB">
      <w:pPr>
        <w:pStyle w:val="Heading3"/>
      </w:pPr>
      <w:bookmarkStart w:id="38" w:name="_Toc24983848"/>
      <w:r w:rsidRPr="00621B83">
        <w:t xml:space="preserve">Допустими непреки </w:t>
      </w:r>
      <w:r w:rsidR="006B3324" w:rsidRPr="00621B83">
        <w:t xml:space="preserve">(режийни) </w:t>
      </w:r>
      <w:r w:rsidRPr="00621B83">
        <w:t>разходи</w:t>
      </w:r>
      <w:bookmarkEnd w:id="38"/>
      <w:r w:rsidRPr="00621B83">
        <w:t xml:space="preserve"> </w:t>
      </w:r>
    </w:p>
    <w:p w14:paraId="57F3CEA9" w14:textId="77777777" w:rsidR="005A4CD1" w:rsidRPr="00621B83" w:rsidRDefault="00E119F9" w:rsidP="00E119F9">
      <w:r w:rsidRPr="00621B83">
        <w:t xml:space="preserve">Непреки разходи са всички допустими разходи, които не могат да бъдат идентифицирани от </w:t>
      </w:r>
      <w:r w:rsidR="005E69ED" w:rsidRPr="00621B83">
        <w:t xml:space="preserve">Бенефициента </w:t>
      </w:r>
      <w:r w:rsidRPr="00621B83">
        <w:t xml:space="preserve">и/или </w:t>
      </w:r>
      <w:r w:rsidR="005E69ED" w:rsidRPr="00621B83">
        <w:t xml:space="preserve">Партньора </w:t>
      </w:r>
      <w:r w:rsidRPr="00621B83">
        <w:t xml:space="preserve">по проекта като пряко свързани с проекта, но които могат да бъдат идентифицирани и доказани от неговата счетоводна система като разходи, направени в пряка връзка с допустимите преки разходи към проекта. Те не могат да включват допустими преки разходи. Непреките разходи по проекта представляват справедливо разпределение на </w:t>
      </w:r>
      <w:r w:rsidR="006B3324" w:rsidRPr="00621B83">
        <w:t xml:space="preserve">режийните </w:t>
      </w:r>
      <w:r w:rsidRPr="00621B83">
        <w:t xml:space="preserve">разходи на </w:t>
      </w:r>
      <w:r w:rsidR="00F30DCC" w:rsidRPr="00621B83">
        <w:t xml:space="preserve">Бенефициента </w:t>
      </w:r>
      <w:r w:rsidRPr="00621B83">
        <w:t xml:space="preserve">или на </w:t>
      </w:r>
      <w:r w:rsidR="00F30DCC" w:rsidRPr="00621B83">
        <w:t xml:space="preserve">Партньора </w:t>
      </w:r>
      <w:r w:rsidRPr="00621B83">
        <w:t xml:space="preserve">по проекта. </w:t>
      </w:r>
    </w:p>
    <w:p w14:paraId="3F4BFB97" w14:textId="2EE26F1D" w:rsidR="00C1025E" w:rsidRPr="00621B83" w:rsidRDefault="00CE553C" w:rsidP="0064088F">
      <w:r w:rsidRPr="00621B83">
        <w:t xml:space="preserve">Бенефициентите и </w:t>
      </w:r>
      <w:r w:rsidR="00553A7D">
        <w:t>П</w:t>
      </w:r>
      <w:r w:rsidRPr="00621B83">
        <w:t>артньорите им могат да определят своите непреки разходи чрез един от следните методи:</w:t>
      </w:r>
    </w:p>
    <w:p w14:paraId="60FFB3A9" w14:textId="4582E9EB" w:rsidR="00CE553C" w:rsidRPr="00DF2A21" w:rsidRDefault="00CE553C" w:rsidP="00DF2A21">
      <w:pPr>
        <w:ind w:left="720" w:hanging="360"/>
      </w:pPr>
      <w:r w:rsidRPr="00DF2A21">
        <w:t>(а) въз основа на реални</w:t>
      </w:r>
      <w:r w:rsidR="00553A7D">
        <w:t>те</w:t>
      </w:r>
      <w:r w:rsidRPr="00DF2A21">
        <w:t xml:space="preserve"> непреки разходи за тези Бенефициенти и </w:t>
      </w:r>
      <w:r w:rsidR="00553A7D">
        <w:t>П</w:t>
      </w:r>
      <w:r w:rsidRPr="00DF2A21">
        <w:t>артньори</w:t>
      </w:r>
      <w:r w:rsidR="00553A7D">
        <w:t xml:space="preserve"> по проек</w:t>
      </w:r>
      <w:r w:rsidR="00B316C4">
        <w:t>т</w:t>
      </w:r>
      <w:r w:rsidR="00553A7D" w:rsidRPr="00C646D0">
        <w:t>и</w:t>
      </w:r>
      <w:r w:rsidRPr="00DF2A21">
        <w:t>, които имат аналитична счетоводна система, която да установява техните непреки разходи съгласно посоченото по-горе;</w:t>
      </w:r>
    </w:p>
    <w:p w14:paraId="4C9C3223" w14:textId="52027344" w:rsidR="00CE553C" w:rsidRPr="00DF2A21" w:rsidRDefault="00CE553C" w:rsidP="00DF2A21">
      <w:pPr>
        <w:ind w:left="720" w:hanging="360"/>
      </w:pPr>
      <w:r w:rsidRPr="00DF2A21">
        <w:t>(б)</w:t>
      </w:r>
      <w:r w:rsidRPr="00DF2A21">
        <w:tab/>
        <w:t xml:space="preserve">твърда ставка в размер до 25% от общите допустими </w:t>
      </w:r>
      <w:r w:rsidR="005E758F" w:rsidRPr="00DF2A21">
        <w:t xml:space="preserve">преки </w:t>
      </w:r>
      <w:r w:rsidRPr="00DF2A21">
        <w:t>разходи, с изключение на преки</w:t>
      </w:r>
      <w:r w:rsidR="00553A7D">
        <w:t>те</w:t>
      </w:r>
      <w:r w:rsidRPr="00DF2A21">
        <w:t xml:space="preserve"> допустими разходи за възлагане на подизпълнители и разходите за ресурси, предоставени от трети лица, които не са използвани на територията на Бенефициента или </w:t>
      </w:r>
      <w:r w:rsidR="00553A7D">
        <w:t>на П</w:t>
      </w:r>
      <w:r w:rsidRPr="00DF2A21">
        <w:t>артньор</w:t>
      </w:r>
      <w:r w:rsidR="00553A7D">
        <w:t>а по проекта</w:t>
      </w:r>
      <w:r w:rsidRPr="00DF2A21">
        <w:t>;</w:t>
      </w:r>
    </w:p>
    <w:p w14:paraId="1F3C3718" w14:textId="430CE64C" w:rsidR="00CE553C" w:rsidRPr="00DF2A21" w:rsidRDefault="00CE553C" w:rsidP="00DF2A21">
      <w:pPr>
        <w:ind w:left="720" w:hanging="360"/>
      </w:pPr>
      <w:r w:rsidRPr="00DF2A21">
        <w:t>(в)</w:t>
      </w:r>
      <w:r w:rsidRPr="00DF2A21">
        <w:tab/>
        <w:t>твърда ставка в размер до 15% от допустими</w:t>
      </w:r>
      <w:r w:rsidR="005E758F">
        <w:t>те</w:t>
      </w:r>
      <w:r w:rsidRPr="00DF2A21">
        <w:t xml:space="preserve"> </w:t>
      </w:r>
      <w:r w:rsidR="005E758F" w:rsidRPr="00DF2A21">
        <w:t xml:space="preserve">преки </w:t>
      </w:r>
      <w:r w:rsidRPr="00DF2A21">
        <w:t>разходи за персонал, без да е налице изискване за Програмния оператор да извърши изчисление, за да определи приложимия размер или</w:t>
      </w:r>
    </w:p>
    <w:p w14:paraId="641A470B" w14:textId="60EBCF58" w:rsidR="00CE553C" w:rsidRPr="00DF2A21" w:rsidRDefault="00CE553C" w:rsidP="00DF2A21">
      <w:pPr>
        <w:ind w:left="720" w:hanging="360"/>
        <w:rPr>
          <w:lang w:val="en-US"/>
        </w:rPr>
      </w:pPr>
      <w:r w:rsidRPr="00DF2A21">
        <w:t>(г)</w:t>
      </w:r>
      <w:r w:rsidRPr="00DF2A21">
        <w:tab/>
        <w:t>твърда ставка, прилагана спрямо допустими</w:t>
      </w:r>
      <w:r w:rsidR="005E758F">
        <w:t>те</w:t>
      </w:r>
      <w:r w:rsidRPr="00DF2A21">
        <w:t xml:space="preserve"> </w:t>
      </w:r>
      <w:r w:rsidR="005E758F" w:rsidRPr="00DF2A21">
        <w:t xml:space="preserve">преки </w:t>
      </w:r>
      <w:r w:rsidRPr="00DF2A21">
        <w:t>разходи, въз основа на съществуващи начини и съответни ставки, приложими в политиките на Европейския съюз за подобни типове проект</w:t>
      </w:r>
      <w:r w:rsidR="00553A7D">
        <w:t>и</w:t>
      </w:r>
      <w:r w:rsidRPr="00DF2A21">
        <w:t xml:space="preserve"> и Бенефициенти</w:t>
      </w:r>
      <w:r w:rsidR="008A5DA1">
        <w:rPr>
          <w:lang w:val="en-US"/>
        </w:rPr>
        <w:t>.</w:t>
      </w:r>
    </w:p>
    <w:p w14:paraId="5F245B18" w14:textId="77777777" w:rsidR="00810CD7" w:rsidRPr="00621B83" w:rsidRDefault="00810CD7" w:rsidP="00621B83">
      <w:pPr>
        <w:tabs>
          <w:tab w:val="left" w:pos="567"/>
        </w:tabs>
        <w:autoSpaceDE w:val="0"/>
        <w:autoSpaceDN w:val="0"/>
        <w:adjustRightInd w:val="0"/>
        <w:spacing w:after="0"/>
        <w:ind w:left="567"/>
      </w:pPr>
    </w:p>
    <w:p w14:paraId="10C7895B" w14:textId="77777777" w:rsidR="002B4B2A" w:rsidRPr="00716C51" w:rsidRDefault="00D37B67" w:rsidP="00C021CC">
      <w:pPr>
        <w:pStyle w:val="Heading2"/>
      </w:pPr>
      <w:bookmarkStart w:id="39" w:name="_Toc24983849"/>
      <w:r w:rsidRPr="00716C51">
        <w:t>НЕДОПУСТИМИ РАЗХОДИ</w:t>
      </w:r>
      <w:bookmarkEnd w:id="39"/>
      <w:r w:rsidR="002B4B2A" w:rsidRPr="00716C51">
        <w:t xml:space="preserve"> </w:t>
      </w:r>
    </w:p>
    <w:p w14:paraId="51ED0F2C" w14:textId="77777777" w:rsidR="002B4B2A" w:rsidRPr="00621B83" w:rsidRDefault="002B4B2A" w:rsidP="002B4B2A">
      <w:r w:rsidRPr="00621B83">
        <w:t xml:space="preserve">Посочените по-долу разходи </w:t>
      </w:r>
      <w:r w:rsidR="007A52D7" w:rsidRPr="00621B83">
        <w:t>са</w:t>
      </w:r>
      <w:r w:rsidRPr="00621B83">
        <w:t xml:space="preserve"> </w:t>
      </w:r>
      <w:r w:rsidR="007A52D7" w:rsidRPr="00621B83">
        <w:t>не</w:t>
      </w:r>
      <w:r w:rsidRPr="00621B83">
        <w:t>допустими:</w:t>
      </w:r>
    </w:p>
    <w:p w14:paraId="0E6BDDC9" w14:textId="77777777" w:rsidR="005B3CB7" w:rsidRPr="00621B83" w:rsidRDefault="005B3CB7" w:rsidP="00DF2A21">
      <w:pPr>
        <w:numPr>
          <w:ilvl w:val="0"/>
          <w:numId w:val="11"/>
        </w:numPr>
        <w:spacing w:after="0"/>
        <w:ind w:left="709" w:hanging="352"/>
      </w:pPr>
      <w:r w:rsidRPr="00621B83">
        <w:t>лихви върху кредити, такси по обслужване на дългове и неустойки за забавени плащания;</w:t>
      </w:r>
    </w:p>
    <w:p w14:paraId="5B28107B" w14:textId="77777777" w:rsidR="005B3CB7" w:rsidRPr="00621B83" w:rsidRDefault="005B3CB7" w:rsidP="00DF2A21">
      <w:pPr>
        <w:numPr>
          <w:ilvl w:val="0"/>
          <w:numId w:val="11"/>
        </w:numPr>
        <w:spacing w:after="0"/>
        <w:ind w:left="709" w:hanging="352"/>
      </w:pPr>
      <w:r w:rsidRPr="00621B83">
        <w:t>такси за финансови транзакции и други чисто финансови разходи;</w:t>
      </w:r>
    </w:p>
    <w:p w14:paraId="2B0D1BD2" w14:textId="77777777" w:rsidR="005B3CB7" w:rsidRPr="00621B83" w:rsidRDefault="005B3CB7" w:rsidP="00DF2A21">
      <w:pPr>
        <w:numPr>
          <w:ilvl w:val="0"/>
          <w:numId w:val="11"/>
        </w:numPr>
        <w:spacing w:after="0"/>
        <w:ind w:left="709" w:hanging="352"/>
      </w:pPr>
      <w:r w:rsidRPr="00621B83">
        <w:t>резерви за загуби или евентуални бъдещи задължения;</w:t>
      </w:r>
    </w:p>
    <w:p w14:paraId="30F118AA" w14:textId="77777777" w:rsidR="005B3CB7" w:rsidRPr="00621B83" w:rsidRDefault="005B3CB7" w:rsidP="00DF2A21">
      <w:pPr>
        <w:numPr>
          <w:ilvl w:val="0"/>
          <w:numId w:val="11"/>
        </w:numPr>
        <w:spacing w:after="0"/>
        <w:ind w:left="709" w:hanging="352"/>
      </w:pPr>
      <w:r w:rsidRPr="00621B83">
        <w:t>загуби от обмен на валута;</w:t>
      </w:r>
    </w:p>
    <w:p w14:paraId="2C4BEF47" w14:textId="77777777" w:rsidR="005B3CB7" w:rsidRPr="00621B83" w:rsidRDefault="005B3CB7" w:rsidP="00DF2A21">
      <w:pPr>
        <w:numPr>
          <w:ilvl w:val="0"/>
          <w:numId w:val="11"/>
        </w:numPr>
        <w:spacing w:after="0"/>
        <w:ind w:left="709" w:hanging="352"/>
      </w:pPr>
      <w:r w:rsidRPr="00621B83">
        <w:lastRenderedPageBreak/>
        <w:t>подлежащо на възстановяване ДДС;</w:t>
      </w:r>
    </w:p>
    <w:p w14:paraId="78272F23" w14:textId="77777777" w:rsidR="005B3CB7" w:rsidRPr="00621B83" w:rsidRDefault="005B3CB7" w:rsidP="00DF2A21">
      <w:pPr>
        <w:numPr>
          <w:ilvl w:val="0"/>
          <w:numId w:val="11"/>
        </w:numPr>
        <w:spacing w:after="0"/>
        <w:ind w:left="709" w:hanging="352"/>
      </w:pPr>
      <w:r w:rsidRPr="00621B83">
        <w:t>разходи, които се покриват от други източници;</w:t>
      </w:r>
    </w:p>
    <w:p w14:paraId="12484256" w14:textId="77777777" w:rsidR="005B3CB7" w:rsidRPr="00621B83" w:rsidRDefault="005B3CB7" w:rsidP="00DF2A21">
      <w:pPr>
        <w:numPr>
          <w:ilvl w:val="0"/>
          <w:numId w:val="11"/>
        </w:numPr>
        <w:spacing w:after="0"/>
        <w:ind w:left="709" w:hanging="352"/>
      </w:pPr>
      <w:r w:rsidRPr="00621B83">
        <w:t>глоби, неустойки и разходи за съдебни процеси с изключение случаите, когато обжалването е необходима и неразделна част от постигане на заложените цели по проекта;</w:t>
      </w:r>
    </w:p>
    <w:p w14:paraId="79259104" w14:textId="77777777" w:rsidR="005310DB" w:rsidRPr="00621B83" w:rsidRDefault="005B3CB7" w:rsidP="00DF2A21">
      <w:pPr>
        <w:numPr>
          <w:ilvl w:val="0"/>
          <w:numId w:val="11"/>
        </w:numPr>
        <w:spacing w:after="0"/>
        <w:ind w:left="709" w:hanging="352"/>
      </w:pPr>
      <w:r w:rsidRPr="00621B83">
        <w:t>прекомерни или безразсъдни разходи</w:t>
      </w:r>
      <w:r w:rsidR="005310DB" w:rsidRPr="00621B83">
        <w:t>;</w:t>
      </w:r>
    </w:p>
    <w:p w14:paraId="31393400" w14:textId="77777777" w:rsidR="005B3CB7" w:rsidRDefault="005310DB" w:rsidP="00DF2A21">
      <w:pPr>
        <w:numPr>
          <w:ilvl w:val="0"/>
          <w:numId w:val="11"/>
        </w:numPr>
        <w:spacing w:after="0"/>
        <w:ind w:left="709" w:hanging="352"/>
      </w:pPr>
      <w:r w:rsidRPr="00621B83">
        <w:t xml:space="preserve">всички разходи, непопадащи в обхвата на допустимите дейности, включително разходи, които не са описани във </w:t>
      </w:r>
      <w:r w:rsidR="00103223" w:rsidRPr="00621B83">
        <w:t xml:space="preserve">Формуляра </w:t>
      </w:r>
      <w:r w:rsidRPr="00621B83">
        <w:t>за кандидатстване, или ако по представеното описание не може да се прецени за коя дейност се отнасят</w:t>
      </w:r>
      <w:r w:rsidR="005B3CB7" w:rsidRPr="00621B83">
        <w:t>.</w:t>
      </w:r>
    </w:p>
    <w:p w14:paraId="4CBB095D" w14:textId="77777777" w:rsidR="0001597D" w:rsidRPr="00621B83" w:rsidRDefault="0001597D" w:rsidP="0001597D">
      <w:pPr>
        <w:spacing w:after="0"/>
        <w:ind w:left="709"/>
      </w:pPr>
    </w:p>
    <w:p w14:paraId="7A8CAD0D" w14:textId="77777777" w:rsidR="00651B14" w:rsidRPr="00716C51" w:rsidRDefault="00651B14" w:rsidP="00C021CC">
      <w:pPr>
        <w:pStyle w:val="Heading2"/>
      </w:pPr>
      <w:bookmarkStart w:id="40" w:name="_Toc24983850"/>
      <w:r w:rsidRPr="00716C51">
        <w:t>БЮДЖЕТ НА ПРОЕКТНОТО ПРЕДЛОЖЕНИЕ</w:t>
      </w:r>
      <w:bookmarkEnd w:id="40"/>
    </w:p>
    <w:p w14:paraId="622ED705" w14:textId="70DB4D1B" w:rsidR="00524D0F" w:rsidRDefault="00651B14" w:rsidP="00651B14">
      <w:r w:rsidRPr="00621B83">
        <w:t>Бюджетът на проектното предложение включва допустими преки</w:t>
      </w:r>
      <w:r w:rsidR="009C7235">
        <w:t xml:space="preserve"> и</w:t>
      </w:r>
      <w:r w:rsidR="009C7235" w:rsidRPr="00621B83">
        <w:t xml:space="preserve"> </w:t>
      </w:r>
      <w:r w:rsidR="00140242" w:rsidRPr="00621B83">
        <w:t xml:space="preserve">допустими </w:t>
      </w:r>
      <w:r w:rsidRPr="00621B83">
        <w:t>непреки разходи</w:t>
      </w:r>
      <w:r w:rsidR="000C40F3">
        <w:t xml:space="preserve"> Бюджетът</w:t>
      </w:r>
      <w:r w:rsidR="00524D0F">
        <w:t xml:space="preserve"> се състои от раздели, пера и редове. </w:t>
      </w:r>
    </w:p>
    <w:p w14:paraId="4F49AE53" w14:textId="02D25F57" w:rsidR="007E02BE" w:rsidRPr="00621B83" w:rsidRDefault="00651B14" w:rsidP="00651B14">
      <w:pPr>
        <w:rPr>
          <w:b/>
        </w:rPr>
      </w:pPr>
      <w:r w:rsidRPr="00621B83">
        <w:t>Във Формуляра за кандидатстване бюджетът се изготвя в лева. Стойностите и единичните цени се закръгляват до втория знак след десетичната запетая. Всеки допустим разход трябва да е обособен като отделн</w:t>
      </w:r>
      <w:r w:rsidR="00524D0F">
        <w:t>о</w:t>
      </w:r>
      <w:r w:rsidRPr="00621B83">
        <w:t xml:space="preserve"> бюджетн</w:t>
      </w:r>
      <w:r w:rsidR="00524D0F">
        <w:t>о перо или</w:t>
      </w:r>
      <w:r w:rsidRPr="00621B83">
        <w:t xml:space="preserve"> </w:t>
      </w:r>
      <w:r w:rsidR="00524D0F" w:rsidRPr="00621B83">
        <w:t>отдел</w:t>
      </w:r>
      <w:r w:rsidR="00524D0F">
        <w:t>ен</w:t>
      </w:r>
      <w:r w:rsidR="00524D0F" w:rsidRPr="00621B83">
        <w:t xml:space="preserve"> бюджет</w:t>
      </w:r>
      <w:r w:rsidR="00524D0F">
        <w:t>е</w:t>
      </w:r>
      <w:r w:rsidR="00524D0F" w:rsidRPr="00621B83">
        <w:t>н</w:t>
      </w:r>
      <w:r w:rsidR="00524D0F">
        <w:t xml:space="preserve"> </w:t>
      </w:r>
      <w:r w:rsidRPr="00621B83">
        <w:t xml:space="preserve">ред. Разходите на Кандидата и Партньора (в случай че разходва средства) следва да бъдат обособени в отделни </w:t>
      </w:r>
      <w:r w:rsidR="00CA0913">
        <w:t>пера</w:t>
      </w:r>
      <w:r w:rsidR="007E02BE" w:rsidRPr="00621B83">
        <w:rPr>
          <w:b/>
        </w:rPr>
        <w:t>.</w:t>
      </w:r>
    </w:p>
    <w:p w14:paraId="58B17B1F" w14:textId="420D08E3" w:rsidR="000A2D0B" w:rsidRPr="00621B83" w:rsidRDefault="001818EC" w:rsidP="0053459C">
      <w:r w:rsidRPr="00621B83">
        <w:t xml:space="preserve">Третирането на ДДС като невъзстановим разход, допустим при изпълнение на проекти, е представено в Указание на Министерство на финансите </w:t>
      </w:r>
      <w:hyperlink r:id="rId44" w:history="1">
        <w:r w:rsidRPr="00621B83">
          <w:rPr>
            <w:rStyle w:val="Hyperlink"/>
          </w:rPr>
          <w:t xml:space="preserve">ДНФ №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 Кандидатът следва да попълни Декларация относно статута по ЗДДС (Приложение </w:t>
        </w:r>
        <w:r w:rsidRPr="00621B83">
          <w:rPr>
            <w:rStyle w:val="Hyperlink"/>
            <w:lang w:val="en-US"/>
          </w:rPr>
          <w:t>J</w:t>
        </w:r>
        <w:r w:rsidRPr="00621B83">
          <w:rPr>
            <w:rStyle w:val="Hyperlink"/>
          </w:rPr>
          <w:t>)</w:t>
        </w:r>
      </w:hyperlink>
      <w:r w:rsidRPr="00621B83">
        <w:t>.</w:t>
      </w:r>
      <w:r w:rsidRPr="001818EC">
        <w:t xml:space="preserve"> </w:t>
      </w:r>
      <w:r w:rsidRPr="00621B83">
        <w:t xml:space="preserve">В случай че разходите за ДДС са </w:t>
      </w:r>
      <w:r>
        <w:t>невъзстановими</w:t>
      </w:r>
      <w:r w:rsidRPr="00621B83">
        <w:t xml:space="preserve">, невъзстановимият ДДС се включва в </w:t>
      </w:r>
      <w:r>
        <w:t>стойността на съответния бюджетен ред, към който се отнася</w:t>
      </w:r>
      <w:r w:rsidRPr="00621B83">
        <w:t>.</w:t>
      </w:r>
    </w:p>
    <w:p w14:paraId="2BCD445B" w14:textId="3D88166D" w:rsidR="00F54AA4" w:rsidRPr="00621B83" w:rsidRDefault="00F54AA4" w:rsidP="0053459C">
      <w:r w:rsidRPr="00621B83">
        <w:t>Кандидатът обосновава всеки предвиден разход</w:t>
      </w:r>
      <w:r w:rsidR="005A298B" w:rsidRPr="00621B83">
        <w:t xml:space="preserve">, като включва кратко текстово описание във Формуляра за </w:t>
      </w:r>
      <w:r w:rsidR="005801A3" w:rsidRPr="00621B83">
        <w:t>кандидатстване</w:t>
      </w:r>
      <w:r w:rsidR="00CA0913">
        <w:t>, като го отнесе към съответната дейност</w:t>
      </w:r>
      <w:r w:rsidR="005A298B" w:rsidRPr="00621B83">
        <w:t xml:space="preserve">. </w:t>
      </w:r>
    </w:p>
    <w:p w14:paraId="7CC426B4" w14:textId="77777777" w:rsidR="00651B14" w:rsidRDefault="00651B14" w:rsidP="0053459C">
      <w:r w:rsidRPr="00621B83">
        <w:t>За целите на планиране на разходите се използва курс 1 euro = 1.95583</w:t>
      </w:r>
      <w:r w:rsidR="007F5960" w:rsidRPr="00621B83">
        <w:t xml:space="preserve"> лева</w:t>
      </w:r>
      <w:r w:rsidRPr="00621B83">
        <w:t>.</w:t>
      </w:r>
    </w:p>
    <w:p w14:paraId="47804169" w14:textId="50A0740D" w:rsidR="00B96235" w:rsidRPr="00621B83" w:rsidRDefault="00CE51C3" w:rsidP="0053459C">
      <w:r>
        <w:t>С цел определяне на интензитета на предоставяната БФП в</w:t>
      </w:r>
      <w:r w:rsidR="00B96235">
        <w:t xml:space="preserve"> случай на собствен принос на Бенефициента/Партньора към допустимите разходи по проекта</w:t>
      </w:r>
      <w:r>
        <w:t>, този принос</w:t>
      </w:r>
      <w:r w:rsidR="00B96235">
        <w:t xml:space="preserve"> следва</w:t>
      </w:r>
      <w:r>
        <w:t xml:space="preserve"> да бъде пропорционално разпределен между всички допустими разходи на Бенефициента, съответно Партньора.</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44E15" w:rsidRPr="00983251" w14:paraId="257F3711" w14:textId="77777777" w:rsidTr="00C138BC">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0C0DCAD1" w14:textId="77777777" w:rsidR="00344E15" w:rsidRPr="00621B83" w:rsidRDefault="00344E15" w:rsidP="0055473A">
            <w:pPr>
              <w:rPr>
                <w:b/>
              </w:rPr>
            </w:pPr>
            <w:r w:rsidRPr="00621B83">
              <w:rPr>
                <w:b/>
              </w:rPr>
              <w:t>ВАЖНО!</w:t>
            </w:r>
          </w:p>
          <w:p w14:paraId="082A7E7C" w14:textId="77777777" w:rsidR="00344E15" w:rsidRPr="00621B83" w:rsidRDefault="00344E15" w:rsidP="00344E15">
            <w:r w:rsidRPr="00621B83">
              <w:t>При съставянето на бюджета следва да се има предвид, че той ще бъде разходван като се спазват правилата на ЗОП и актовете по неговото прилагане.</w:t>
            </w:r>
          </w:p>
          <w:p w14:paraId="61430441" w14:textId="6EB5C2F2" w:rsidR="00344E15" w:rsidRPr="00621B83" w:rsidRDefault="00344E15" w:rsidP="00344E15">
            <w:r w:rsidRPr="00621B83">
              <w:t>Кандидатите следва да се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w:t>
            </w:r>
            <w:r w:rsidR="00524D0F">
              <w:t>я част</w:t>
            </w:r>
            <w:r w:rsidRPr="00621B83">
              <w:t xml:space="preserve"> на бюджета са предвидени съответните разходи. Не се допуска разделяне на предмета на услугата или доставката с цел </w:t>
            </w:r>
            <w:r w:rsidRPr="00621B83">
              <w:lastRenderedPageBreak/>
              <w:t>заобикаляне прилагането на посочените нормативни актове.</w:t>
            </w:r>
          </w:p>
          <w:p w14:paraId="63072E11" w14:textId="77777777" w:rsidR="00344E15" w:rsidRPr="00621B83" w:rsidRDefault="00344E15" w:rsidP="00344E15">
            <w:pPr>
              <w:rPr>
                <w:b/>
              </w:rPr>
            </w:pPr>
            <w:r w:rsidRPr="00621B83">
              <w:t>Кандидатът носи цялата отговорност за верността на финансовата информация, представена в бюджета.</w:t>
            </w:r>
          </w:p>
        </w:tc>
      </w:tr>
    </w:tbl>
    <w:p w14:paraId="1C704871" w14:textId="77777777" w:rsidR="00844A8C" w:rsidRPr="00621B83" w:rsidRDefault="00844A8C" w:rsidP="0053459C">
      <w:pPr>
        <w:rPr>
          <w:b/>
        </w:rPr>
      </w:pPr>
    </w:p>
    <w:p w14:paraId="1A97D28C" w14:textId="4E04B01B" w:rsidR="0080790E" w:rsidRPr="00621B83" w:rsidRDefault="001944E1" w:rsidP="00AA3049">
      <w:pPr>
        <w:keepNext/>
        <w:rPr>
          <w:b/>
        </w:rPr>
      </w:pPr>
      <w:r w:rsidRPr="00621B83">
        <w:rPr>
          <w:b/>
        </w:rPr>
        <w:t xml:space="preserve">Раздел </w:t>
      </w:r>
      <w:r w:rsidRPr="00AA3049">
        <w:rPr>
          <w:b/>
        </w:rPr>
        <w:t>I</w:t>
      </w:r>
      <w:r w:rsidRPr="00621B83">
        <w:rPr>
          <w:b/>
        </w:rPr>
        <w:t xml:space="preserve">: </w:t>
      </w:r>
      <w:r w:rsidR="00BF3C12" w:rsidRPr="00621B83">
        <w:rPr>
          <w:b/>
        </w:rPr>
        <w:t>Разходи за персонал</w:t>
      </w:r>
      <w:r w:rsidRPr="00621B83">
        <w:rPr>
          <w:b/>
        </w:rPr>
        <w:t xml:space="preserve"> </w:t>
      </w:r>
    </w:p>
    <w:p w14:paraId="4D7500E0" w14:textId="05F44544" w:rsidR="001944E1" w:rsidRPr="00621B83" w:rsidRDefault="005E42BD" w:rsidP="00AA3049">
      <w:pPr>
        <w:keepNext/>
        <w:rPr>
          <w:b/>
        </w:rPr>
      </w:pPr>
      <w:r w:rsidRPr="00621B83">
        <w:rPr>
          <w:b/>
        </w:rPr>
        <w:t>Бюджетн</w:t>
      </w:r>
      <w:r>
        <w:rPr>
          <w:b/>
        </w:rPr>
        <w:t>и</w:t>
      </w:r>
      <w:r w:rsidRPr="00621B83">
        <w:rPr>
          <w:b/>
        </w:rPr>
        <w:t xml:space="preserve"> пер</w:t>
      </w:r>
      <w:r>
        <w:rPr>
          <w:b/>
        </w:rPr>
        <w:t>а</w:t>
      </w:r>
      <w:r w:rsidR="0080790E" w:rsidRPr="00621B83">
        <w:rPr>
          <w:b/>
        </w:rPr>
        <w:t xml:space="preserve">: Разходи за </w:t>
      </w:r>
      <w:r w:rsidR="006763B9" w:rsidRPr="00621B83">
        <w:rPr>
          <w:b/>
        </w:rPr>
        <w:t xml:space="preserve">персонал </w:t>
      </w:r>
      <w:r>
        <w:rPr>
          <w:b/>
        </w:rPr>
        <w:t>на Бенефициента</w:t>
      </w:r>
      <w:r w:rsidR="00A6001F">
        <w:rPr>
          <w:b/>
        </w:rPr>
        <w:t xml:space="preserve"> </w:t>
      </w:r>
      <w:r w:rsidR="00314BB7">
        <w:rPr>
          <w:b/>
        </w:rPr>
        <w:t>и</w:t>
      </w:r>
      <w:r w:rsidR="00314BB7">
        <w:rPr>
          <w:b/>
          <w:lang w:val="en-US"/>
        </w:rPr>
        <w:t xml:space="preserve"> </w:t>
      </w:r>
      <w:r w:rsidR="00314BB7" w:rsidRPr="00621B83">
        <w:rPr>
          <w:b/>
        </w:rPr>
        <w:t xml:space="preserve">Разходи за персонал </w:t>
      </w:r>
      <w:r w:rsidR="00314BB7">
        <w:rPr>
          <w:b/>
        </w:rPr>
        <w:t>на Бенефициента</w:t>
      </w:r>
      <w:r w:rsidR="00A6001F">
        <w:rPr>
          <w:b/>
        </w:rPr>
        <w:t xml:space="preserve"> на </w:t>
      </w:r>
      <w:r>
        <w:rPr>
          <w:b/>
        </w:rPr>
        <w:t xml:space="preserve">Партньора </w:t>
      </w:r>
    </w:p>
    <w:p w14:paraId="1CAF7E2C" w14:textId="5195C50F" w:rsidR="00583DE8" w:rsidRPr="00621B83" w:rsidRDefault="00887EFB" w:rsidP="00583DE8">
      <w:r w:rsidRPr="00621B83">
        <w:t xml:space="preserve">Разходите за персонал, работещ по </w:t>
      </w:r>
      <w:r w:rsidR="0053793C" w:rsidRPr="00621B83">
        <w:t xml:space="preserve">проекта </w:t>
      </w:r>
      <w:r w:rsidRPr="00621B83">
        <w:t xml:space="preserve">се състоят от действителни </w:t>
      </w:r>
      <w:r w:rsidR="00044DD2" w:rsidRPr="00621B83">
        <w:t>възнаграждения</w:t>
      </w:r>
      <w:r w:rsidRPr="00621B83">
        <w:t xml:space="preserve">, вноски за социално осигуряване и други разходи по закон, включени във възнаграждението, ако това съвпада с обичайната политика на </w:t>
      </w:r>
      <w:r w:rsidR="00740693" w:rsidRPr="00621B83">
        <w:t>Кандидата</w:t>
      </w:r>
      <w:r w:rsidRPr="00621B83">
        <w:t xml:space="preserve">, съответно на Партньора, по отношение на възнагражденията. Разходите за възнаграждения на персонала са допустими, доколкото са свързани с изпълнението на дейности, които </w:t>
      </w:r>
      <w:r w:rsidR="00740693" w:rsidRPr="00621B83">
        <w:t>Кандидатът</w:t>
      </w:r>
      <w:r w:rsidR="00BF3C12">
        <w:rPr>
          <w:lang w:val="en-US"/>
        </w:rPr>
        <w:t>/</w:t>
      </w:r>
      <w:r w:rsidR="00BF3C12">
        <w:t>Партньорът</w:t>
      </w:r>
      <w:r w:rsidRPr="00621B83">
        <w:t xml:space="preserve"> не би извършвал, ако съответният </w:t>
      </w:r>
      <w:r w:rsidR="00FA1F15">
        <w:t>п</w:t>
      </w:r>
      <w:r w:rsidR="00FA1F15" w:rsidRPr="00621B83">
        <w:t xml:space="preserve">роект </w:t>
      </w:r>
      <w:r w:rsidRPr="00621B83">
        <w:t xml:space="preserve">не се изпълнява. </w:t>
      </w:r>
      <w:r w:rsidR="006E5363" w:rsidRPr="00621B83">
        <w:t>При о</w:t>
      </w:r>
      <w:r w:rsidR="005F23FF" w:rsidRPr="00621B83">
        <w:t xml:space="preserve">пределянето на възнагражденията </w:t>
      </w:r>
      <w:r w:rsidR="00E5491D" w:rsidRPr="00621B83">
        <w:t xml:space="preserve">на </w:t>
      </w:r>
      <w:r w:rsidR="005F23FF" w:rsidRPr="00621B83">
        <w:t>Кандидата</w:t>
      </w:r>
      <w:r w:rsidRPr="00621B83">
        <w:t xml:space="preserve"> </w:t>
      </w:r>
      <w:r w:rsidR="006E5363" w:rsidRPr="00621B83">
        <w:t xml:space="preserve">се </w:t>
      </w:r>
      <w:r w:rsidRPr="00621B83">
        <w:t>прилага съответн</w:t>
      </w:r>
      <w:r w:rsidR="0053459C" w:rsidRPr="00621B83">
        <w:t>ото българско законодателството.</w:t>
      </w:r>
    </w:p>
    <w:p w14:paraId="13882DF0" w14:textId="77777777" w:rsidR="007E02BE" w:rsidRPr="00621B83" w:rsidRDefault="007E02BE" w:rsidP="00583DE8">
      <w:r w:rsidRPr="00621B83">
        <w:t>Възнаграждението на Партньора трябва да бъде планирано, в съответствие с обичайната политика на Партньора.</w:t>
      </w:r>
    </w:p>
    <w:p w14:paraId="6A56FC65" w14:textId="0711FF26" w:rsidR="007E02BE" w:rsidRPr="00621B83" w:rsidRDefault="007E02BE" w:rsidP="00583DE8">
      <w:r w:rsidRPr="00621B83">
        <w:t xml:space="preserve">Разходите за Кандидата и разходите за Партньора се попълват в отделни бюджетни </w:t>
      </w:r>
      <w:r w:rsidR="00BF3C12">
        <w:t>пера</w:t>
      </w:r>
      <w:r w:rsidRPr="00621B83">
        <w:t>.</w:t>
      </w:r>
    </w:p>
    <w:p w14:paraId="04B936BF" w14:textId="0CD6EA18" w:rsidR="006763B9" w:rsidRPr="006763B9" w:rsidRDefault="006763B9" w:rsidP="006763B9">
      <w:pPr>
        <w:rPr>
          <w:b/>
        </w:rPr>
      </w:pPr>
      <w:r w:rsidRPr="006763B9">
        <w:rPr>
          <w:b/>
        </w:rPr>
        <w:t xml:space="preserve">Раздел </w:t>
      </w:r>
      <w:r>
        <w:rPr>
          <w:b/>
          <w:lang w:val="en-US"/>
        </w:rPr>
        <w:t>I</w:t>
      </w:r>
      <w:r w:rsidRPr="006763B9">
        <w:rPr>
          <w:b/>
        </w:rPr>
        <w:t xml:space="preserve">I: Разходи за </w:t>
      </w:r>
      <w:r>
        <w:rPr>
          <w:b/>
        </w:rPr>
        <w:t>провеждане и участие в мероприятия</w:t>
      </w:r>
      <w:r w:rsidRPr="006763B9">
        <w:rPr>
          <w:b/>
        </w:rPr>
        <w:t xml:space="preserve"> </w:t>
      </w:r>
    </w:p>
    <w:p w14:paraId="5702CFF4" w14:textId="1DF2DF55" w:rsidR="001D1509" w:rsidRPr="00621B83" w:rsidRDefault="005E42BD" w:rsidP="001944E1">
      <w:pPr>
        <w:rPr>
          <w:b/>
        </w:rPr>
      </w:pPr>
      <w:r w:rsidRPr="00621B83">
        <w:rPr>
          <w:b/>
        </w:rPr>
        <w:t>Бюджетн</w:t>
      </w:r>
      <w:r>
        <w:rPr>
          <w:b/>
        </w:rPr>
        <w:t>и</w:t>
      </w:r>
      <w:r w:rsidRPr="00621B83">
        <w:rPr>
          <w:b/>
        </w:rPr>
        <w:t xml:space="preserve"> пер</w:t>
      </w:r>
      <w:r>
        <w:rPr>
          <w:b/>
        </w:rPr>
        <w:t>а</w:t>
      </w:r>
      <w:r w:rsidR="001D1509" w:rsidRPr="00621B83">
        <w:rPr>
          <w:b/>
        </w:rPr>
        <w:t>:</w:t>
      </w:r>
      <w:r w:rsidR="0073675B" w:rsidRPr="00621B83">
        <w:rPr>
          <w:b/>
        </w:rPr>
        <w:t xml:space="preserve"> </w:t>
      </w:r>
      <w:r w:rsidR="009471D3" w:rsidRPr="00621B83">
        <w:rPr>
          <w:b/>
        </w:rPr>
        <w:t xml:space="preserve">Разходи за командировки </w:t>
      </w:r>
      <w:r>
        <w:rPr>
          <w:b/>
        </w:rPr>
        <w:t>на Бенефициента</w:t>
      </w:r>
      <w:r w:rsidR="00C138BC">
        <w:rPr>
          <w:b/>
        </w:rPr>
        <w:t xml:space="preserve"> </w:t>
      </w:r>
      <w:r w:rsidR="00314BB7">
        <w:rPr>
          <w:b/>
        </w:rPr>
        <w:t>и</w:t>
      </w:r>
      <w:r w:rsidR="00314BB7">
        <w:rPr>
          <w:b/>
          <w:lang w:val="en-US"/>
        </w:rPr>
        <w:t xml:space="preserve"> </w:t>
      </w:r>
      <w:r w:rsidR="00314BB7" w:rsidRPr="00621B83">
        <w:rPr>
          <w:b/>
        </w:rPr>
        <w:t xml:space="preserve">Разходи за командировки </w:t>
      </w:r>
      <w:r w:rsidR="00314BB7">
        <w:rPr>
          <w:b/>
        </w:rPr>
        <w:t>на</w:t>
      </w:r>
      <w:r w:rsidR="00C138BC">
        <w:rPr>
          <w:b/>
        </w:rPr>
        <w:t xml:space="preserve"> </w:t>
      </w:r>
      <w:r w:rsidR="00A6001F">
        <w:rPr>
          <w:b/>
        </w:rPr>
        <w:t xml:space="preserve">на </w:t>
      </w:r>
      <w:r>
        <w:rPr>
          <w:b/>
        </w:rPr>
        <w:t>Партньора</w:t>
      </w:r>
    </w:p>
    <w:p w14:paraId="21F0BA41" w14:textId="6D3752F3" w:rsidR="00654475" w:rsidRPr="00621B83" w:rsidRDefault="009471D3" w:rsidP="001944E1">
      <w:r w:rsidRPr="00621B83">
        <w:t>В бюджетн</w:t>
      </w:r>
      <w:r w:rsidR="007E0212">
        <w:t>ите</w:t>
      </w:r>
      <w:r w:rsidRPr="00621B83">
        <w:t xml:space="preserve"> пер</w:t>
      </w:r>
      <w:r w:rsidR="007E0212">
        <w:t>а</w:t>
      </w:r>
      <w:r w:rsidRPr="00621B83">
        <w:t xml:space="preserve"> се включват п</w:t>
      </w:r>
      <w:r w:rsidR="0073675B" w:rsidRPr="00621B83">
        <w:t>ътни</w:t>
      </w:r>
      <w:r w:rsidRPr="00621B83">
        <w:t>те</w:t>
      </w:r>
      <w:r w:rsidR="0073675B" w:rsidRPr="00621B83">
        <w:t>, дневни</w:t>
      </w:r>
      <w:r w:rsidRPr="00621B83">
        <w:t>те</w:t>
      </w:r>
      <w:r w:rsidR="0073675B" w:rsidRPr="00621B83">
        <w:t xml:space="preserve"> и квартирни</w:t>
      </w:r>
      <w:r w:rsidRPr="00621B83">
        <w:t>те</w:t>
      </w:r>
      <w:r w:rsidR="0073675B" w:rsidRPr="00621B83">
        <w:t xml:space="preserve"> разходи за служители на </w:t>
      </w:r>
      <w:r w:rsidR="00F27EA2" w:rsidRPr="00621B83">
        <w:t>Кандидата</w:t>
      </w:r>
      <w:r w:rsidR="0073675B" w:rsidRPr="00621B83">
        <w:t xml:space="preserve"> и на Партньора</w:t>
      </w:r>
      <w:r w:rsidR="00654475" w:rsidRPr="00621B83">
        <w:t>.</w:t>
      </w:r>
    </w:p>
    <w:p w14:paraId="2B2617B2" w14:textId="77777777" w:rsidR="0073675B" w:rsidRPr="00621B83" w:rsidRDefault="00654475" w:rsidP="001944E1">
      <w:r w:rsidRPr="00621B83">
        <w:t>Р</w:t>
      </w:r>
      <w:r w:rsidR="0073675B" w:rsidRPr="00621B83">
        <w:t>азходи</w:t>
      </w:r>
      <w:r w:rsidR="007945B0" w:rsidRPr="00621B83">
        <w:t>те</w:t>
      </w:r>
      <w:r w:rsidR="0073675B" w:rsidRPr="00621B83">
        <w:t xml:space="preserve"> на </w:t>
      </w:r>
      <w:r w:rsidR="00F27EA2" w:rsidRPr="00621B83">
        <w:t>Кандидата</w:t>
      </w:r>
      <w:r w:rsidR="0073675B" w:rsidRPr="00621B83">
        <w:t xml:space="preserve"> </w:t>
      </w:r>
      <w:r w:rsidR="007945B0" w:rsidRPr="00621B83">
        <w:t>следва да са в съответствие с</w:t>
      </w:r>
      <w:r w:rsidR="0073675B" w:rsidRPr="00621B83">
        <w:t xml:space="preserve"> Наредбата за командировките в страната и Наредбата за служебните команди</w:t>
      </w:r>
      <w:r w:rsidRPr="00621B83">
        <w:t>ровки и специализации в чужбина.</w:t>
      </w:r>
    </w:p>
    <w:p w14:paraId="6F67D776" w14:textId="77777777" w:rsidR="00654475" w:rsidRPr="00621B83" w:rsidRDefault="00654475" w:rsidP="00654475">
      <w:r w:rsidRPr="00621B83">
        <w:t>Определянето на разходите за командировки на Партньора е в съответствие с обичайната му политика.</w:t>
      </w:r>
    </w:p>
    <w:p w14:paraId="7DC1B4DD" w14:textId="77777777" w:rsidR="007F0602" w:rsidRPr="00621B83" w:rsidRDefault="007F0602" w:rsidP="007F0602">
      <w:r w:rsidRPr="00621B83">
        <w:t>Кандидатите следва да обосноват предвидените разходи за командировки на Бенефициента и на Партньора/и</w:t>
      </w:r>
      <w:r w:rsidR="005801A3" w:rsidRPr="00621B83">
        <w:t xml:space="preserve"> във Формуляра за кандидатстване. </w:t>
      </w:r>
    </w:p>
    <w:p w14:paraId="0B446AD0" w14:textId="7E762989" w:rsidR="009471D3" w:rsidRPr="00621B83" w:rsidRDefault="009471D3" w:rsidP="008C35BF">
      <w:r w:rsidRPr="00621B83">
        <w:t xml:space="preserve">Разходите за </w:t>
      </w:r>
      <w:r w:rsidR="00F27EA2" w:rsidRPr="00621B83">
        <w:t xml:space="preserve">Кандидата и на Партньора </w:t>
      </w:r>
      <w:r w:rsidRPr="00621B83">
        <w:t xml:space="preserve">се попълват в отделни бюджетни </w:t>
      </w:r>
      <w:r w:rsidR="005E42BD">
        <w:t>пера</w:t>
      </w:r>
      <w:r w:rsidRPr="00621B83">
        <w:t xml:space="preserve">. </w:t>
      </w:r>
    </w:p>
    <w:p w14:paraId="15DF7E50" w14:textId="77777777" w:rsidR="0001597D" w:rsidRDefault="0001597D" w:rsidP="00E7030F">
      <w:pPr>
        <w:rPr>
          <w:b/>
        </w:rPr>
      </w:pPr>
    </w:p>
    <w:p w14:paraId="2939C20B" w14:textId="2BDF57F0" w:rsidR="005E42BD" w:rsidRPr="00621B83" w:rsidRDefault="005E42BD" w:rsidP="005E42BD">
      <w:pPr>
        <w:keepNext/>
        <w:rPr>
          <w:b/>
        </w:rPr>
      </w:pPr>
      <w:r w:rsidRPr="00621B83">
        <w:rPr>
          <w:b/>
        </w:rPr>
        <w:t xml:space="preserve">Раздел </w:t>
      </w:r>
      <w:r w:rsidRPr="00AA3049">
        <w:rPr>
          <w:b/>
        </w:rPr>
        <w:t>I</w:t>
      </w:r>
      <w:r w:rsidR="006763B9">
        <w:rPr>
          <w:b/>
          <w:lang w:val="en-US"/>
        </w:rPr>
        <w:t>I</w:t>
      </w:r>
      <w:r>
        <w:rPr>
          <w:b/>
          <w:lang w:val="en-US"/>
        </w:rPr>
        <w:t>I</w:t>
      </w:r>
      <w:r w:rsidRPr="00621B83">
        <w:rPr>
          <w:b/>
        </w:rPr>
        <w:t xml:space="preserve">: </w:t>
      </w:r>
      <w:r>
        <w:rPr>
          <w:b/>
        </w:rPr>
        <w:t>Р</w:t>
      </w:r>
      <w:r w:rsidRPr="005E42BD">
        <w:rPr>
          <w:b/>
        </w:rPr>
        <w:t>азходи за материални активи</w:t>
      </w:r>
      <w:r w:rsidRPr="00621B83">
        <w:rPr>
          <w:b/>
        </w:rPr>
        <w:t xml:space="preserve"> </w:t>
      </w:r>
    </w:p>
    <w:p w14:paraId="5AC27006" w14:textId="085E3735" w:rsidR="00E7030F" w:rsidRPr="00621B83" w:rsidRDefault="00C854BF" w:rsidP="00AA3049">
      <w:pPr>
        <w:keepNext/>
        <w:rPr>
          <w:b/>
        </w:rPr>
      </w:pPr>
      <w:r w:rsidRPr="00621B83">
        <w:rPr>
          <w:b/>
        </w:rPr>
        <w:t>Бюджетно перо:</w:t>
      </w:r>
      <w:r w:rsidR="001A2F33" w:rsidRPr="00621B83">
        <w:rPr>
          <w:b/>
        </w:rPr>
        <w:t xml:space="preserve"> </w:t>
      </w:r>
      <w:r w:rsidR="00E7030F" w:rsidRPr="00621B83">
        <w:rPr>
          <w:b/>
        </w:rPr>
        <w:t>Разходи по договори с външни изпълнители</w:t>
      </w:r>
      <w:r w:rsidR="00D10CAD" w:rsidRPr="00621B83">
        <w:rPr>
          <w:b/>
        </w:rPr>
        <w:t>,</w:t>
      </w:r>
      <w:r w:rsidR="00D10CAD" w:rsidRPr="00AA3049">
        <w:rPr>
          <w:b/>
        </w:rPr>
        <w:t xml:space="preserve"> </w:t>
      </w:r>
      <w:r w:rsidR="00D10CAD" w:rsidRPr="00621B83">
        <w:rPr>
          <w:b/>
        </w:rPr>
        <w:t>свързани с дейностите по реконструкция и модернизация на системата/ите за външно изкуствено осветление</w:t>
      </w:r>
    </w:p>
    <w:p w14:paraId="70507470" w14:textId="14385232" w:rsidR="007E02BE" w:rsidRDefault="0085574D" w:rsidP="00E7030F">
      <w:r>
        <w:t xml:space="preserve">Кандидатът представя </w:t>
      </w:r>
      <w:r w:rsidR="0078348C">
        <w:t xml:space="preserve">допустимите </w:t>
      </w:r>
      <w:r>
        <w:t>разходи за доставка, монтаж и демонтаж на материални активи</w:t>
      </w:r>
      <w:r w:rsidR="007E02BE" w:rsidRPr="00621B83">
        <w:t>, свързани с дейностите по реконструкция и модернизация на системата/ите за външно изкуствено осветление</w:t>
      </w:r>
      <w:r w:rsidR="004534A8">
        <w:t xml:space="preserve">, както и допустимите </w:t>
      </w:r>
      <w:r w:rsidR="004534A8" w:rsidRPr="00621B83">
        <w:t>строително</w:t>
      </w:r>
      <w:r w:rsidR="004534A8">
        <w:t>-</w:t>
      </w:r>
      <w:r w:rsidR="004534A8" w:rsidRPr="00621B83">
        <w:t>монтажни работи</w:t>
      </w:r>
      <w:r w:rsidR="004534A8">
        <w:t xml:space="preserve"> към тях</w:t>
      </w:r>
      <w:r>
        <w:t xml:space="preserve">. </w:t>
      </w:r>
      <w:r w:rsidR="007E02BE" w:rsidRPr="00621B83">
        <w:t>Кандидат</w:t>
      </w:r>
      <w:r>
        <w:t>ът обособява</w:t>
      </w:r>
      <w:r w:rsidR="007E02BE" w:rsidRPr="00621B83">
        <w:t xml:space="preserve"> отделни бюджетни редове</w:t>
      </w:r>
      <w:r>
        <w:t xml:space="preserve"> </w:t>
      </w:r>
      <w:r w:rsidR="003F248D">
        <w:t xml:space="preserve">в зависимост от </w:t>
      </w:r>
      <w:r w:rsidR="0063785B">
        <w:t xml:space="preserve">характера на </w:t>
      </w:r>
      <w:r w:rsidR="003F248D">
        <w:t xml:space="preserve">предвидените в проекта </w:t>
      </w:r>
      <w:r w:rsidR="007E0212">
        <w:t>дейности</w:t>
      </w:r>
      <w:r w:rsidR="003F248D">
        <w:t>.</w:t>
      </w:r>
    </w:p>
    <w:p w14:paraId="073A04F3" w14:textId="7FE834D7" w:rsidR="00120907" w:rsidRPr="00120907" w:rsidRDefault="003F248D" w:rsidP="00E7030F">
      <w:pPr>
        <w:rPr>
          <w:b/>
        </w:rPr>
      </w:pPr>
      <w:r>
        <w:lastRenderedPageBreak/>
        <w:t xml:space="preserve">Разходите в Раздел </w:t>
      </w:r>
      <w:r>
        <w:rPr>
          <w:lang w:val="en-US"/>
        </w:rPr>
        <w:t>III</w:t>
      </w:r>
      <w:r>
        <w:t xml:space="preserve"> са допустими само за Кандидата. </w:t>
      </w:r>
    </w:p>
    <w:p w14:paraId="7CC94CD0" w14:textId="1E978CF0" w:rsidR="00120907" w:rsidRPr="00621B83" w:rsidRDefault="00120907" w:rsidP="00120907">
      <w:pPr>
        <w:keepNext/>
        <w:rPr>
          <w:b/>
        </w:rPr>
      </w:pPr>
      <w:r w:rsidRPr="00621B83">
        <w:rPr>
          <w:b/>
        </w:rPr>
        <w:t xml:space="preserve">Раздел </w:t>
      </w:r>
      <w:r w:rsidRPr="00AA3049">
        <w:rPr>
          <w:b/>
        </w:rPr>
        <w:t>I</w:t>
      </w:r>
      <w:r w:rsidR="006763B9">
        <w:rPr>
          <w:b/>
          <w:lang w:val="en-US"/>
        </w:rPr>
        <w:t>V</w:t>
      </w:r>
      <w:r w:rsidRPr="00621B83">
        <w:rPr>
          <w:b/>
        </w:rPr>
        <w:t xml:space="preserve">: </w:t>
      </w:r>
      <w:r>
        <w:rPr>
          <w:b/>
        </w:rPr>
        <w:t>Р</w:t>
      </w:r>
      <w:r w:rsidRPr="005E42BD">
        <w:rPr>
          <w:b/>
        </w:rPr>
        <w:t xml:space="preserve">азходи за </w:t>
      </w:r>
      <w:r>
        <w:rPr>
          <w:b/>
        </w:rPr>
        <w:t>услуги</w:t>
      </w:r>
      <w:r w:rsidRPr="00621B83">
        <w:rPr>
          <w:b/>
        </w:rPr>
        <w:t xml:space="preserve"> </w:t>
      </w:r>
    </w:p>
    <w:p w14:paraId="393AB2FD" w14:textId="22C20117" w:rsidR="006763B9" w:rsidRDefault="006763B9" w:rsidP="002C1863">
      <w:pPr>
        <w:rPr>
          <w:b/>
        </w:rPr>
      </w:pPr>
      <w:r>
        <w:t>Разходи</w:t>
      </w:r>
      <w:r w:rsidR="00632CE7">
        <w:t>те</w:t>
      </w:r>
      <w:r>
        <w:t xml:space="preserve"> за услуги,</w:t>
      </w:r>
      <w:r w:rsidRPr="006763B9">
        <w:t xml:space="preserve"> </w:t>
      </w:r>
      <w:r w:rsidRPr="00621B83">
        <w:t xml:space="preserve">свързани с дейностите по реконструкция и модернизация на системата/ите за външно изкуствено осветление, са допустими само за Кандидата и се посочват в отделни бюджетни </w:t>
      </w:r>
      <w:r>
        <w:t>пера, както следва:</w:t>
      </w:r>
    </w:p>
    <w:p w14:paraId="598FD9DB" w14:textId="0A158592" w:rsidR="00D10CAD" w:rsidRPr="007E0212" w:rsidRDefault="007F503B" w:rsidP="003F3FAD">
      <w:pPr>
        <w:pStyle w:val="ListParagraph"/>
        <w:numPr>
          <w:ilvl w:val="0"/>
          <w:numId w:val="73"/>
        </w:numPr>
      </w:pPr>
      <w:r w:rsidRPr="007E0212">
        <w:t>Бюджетно перо: Разходи за изготвяне на работен проект, в случай на кандидатстване по Вариант 2</w:t>
      </w:r>
      <w:r w:rsidR="007E0212" w:rsidRPr="003F3FAD">
        <w:t>;</w:t>
      </w:r>
    </w:p>
    <w:p w14:paraId="3BE319FD" w14:textId="76B1F94B" w:rsidR="007F503B" w:rsidRPr="007E0212" w:rsidRDefault="007F503B" w:rsidP="003F3FAD">
      <w:pPr>
        <w:pStyle w:val="ListParagraph"/>
        <w:keepNext/>
        <w:numPr>
          <w:ilvl w:val="0"/>
          <w:numId w:val="73"/>
        </w:numPr>
      </w:pPr>
      <w:r w:rsidRPr="007E0212">
        <w:t>Бюджетно перо: Разходи за строителен надзор</w:t>
      </w:r>
      <w:r w:rsidR="007E0212" w:rsidRPr="003F3FAD">
        <w:t>;</w:t>
      </w:r>
    </w:p>
    <w:p w14:paraId="1268CE90" w14:textId="24B5A87C" w:rsidR="007F503B" w:rsidRPr="007E0212" w:rsidRDefault="007F503B" w:rsidP="003F3FAD">
      <w:pPr>
        <w:pStyle w:val="ListParagraph"/>
        <w:keepNext/>
        <w:numPr>
          <w:ilvl w:val="0"/>
          <w:numId w:val="73"/>
        </w:numPr>
      </w:pPr>
      <w:r w:rsidRPr="007E0212">
        <w:t>Бюджетно перо: Разходи за авторски надзор</w:t>
      </w:r>
      <w:r w:rsidR="007E0212" w:rsidRPr="003F3FAD">
        <w:t>.</w:t>
      </w:r>
    </w:p>
    <w:p w14:paraId="59C92102" w14:textId="4FB6042E" w:rsidR="007F503B" w:rsidRPr="003F3FAD" w:rsidRDefault="004C7DC7" w:rsidP="00AA3049">
      <w:pPr>
        <w:keepNext/>
      </w:pPr>
      <w:r>
        <w:t>Р</w:t>
      </w:r>
      <w:r w:rsidR="006763B9" w:rsidRPr="00621B83">
        <w:t>азходи</w:t>
      </w:r>
      <w:r>
        <w:t>те</w:t>
      </w:r>
      <w:r w:rsidR="006763B9">
        <w:t xml:space="preserve"> за услуги</w:t>
      </w:r>
      <w:r w:rsidR="006763B9" w:rsidRPr="00621B83">
        <w:t xml:space="preserve"> по договори с външни изпълнители</w:t>
      </w:r>
      <w:r w:rsidR="006763B9">
        <w:t>,</w:t>
      </w:r>
      <w:r w:rsidR="006763B9" w:rsidRPr="006763B9">
        <w:t xml:space="preserve"> </w:t>
      </w:r>
      <w:r w:rsidR="006763B9" w:rsidRPr="00621B83">
        <w:t>произтичащи пряко от допустимите дейности по проекта</w:t>
      </w:r>
      <w:r w:rsidR="006763B9">
        <w:t xml:space="preserve">, </w:t>
      </w:r>
      <w:r w:rsidR="006763B9" w:rsidRPr="00621B83">
        <w:t>могат да бъдат разходите за превод, одит, дейности за информираност и публичност, разходи за обмен на опит, знания и най-добри практики на управленско и експертно ниво, предоставени от Партньора, както и др. относими разходи, за които е доказано, че са задължителни и неделими при изпълнението на договора за БФП.</w:t>
      </w:r>
      <w:r w:rsidR="006763B9">
        <w:t xml:space="preserve"> Те се </w:t>
      </w:r>
      <w:r w:rsidR="00632CE7">
        <w:t>обособяват на отделни бюджетни редове</w:t>
      </w:r>
      <w:r w:rsidR="006763B9">
        <w:t xml:space="preserve"> в</w:t>
      </w:r>
      <w:r w:rsidR="00632CE7">
        <w:t xml:space="preserve"> следните</w:t>
      </w:r>
      <w:r w:rsidR="006763B9">
        <w:t xml:space="preserve"> бюджетни пера:</w:t>
      </w:r>
    </w:p>
    <w:p w14:paraId="7591E436" w14:textId="0645A3A8" w:rsidR="006763B9" w:rsidRPr="003F3FAD" w:rsidRDefault="007F503B" w:rsidP="003F3FAD">
      <w:pPr>
        <w:pStyle w:val="ListParagraph"/>
        <w:numPr>
          <w:ilvl w:val="0"/>
          <w:numId w:val="73"/>
        </w:numPr>
      </w:pPr>
      <w:r w:rsidRPr="003F3FAD">
        <w:t>Бюджетн</w:t>
      </w:r>
      <w:r w:rsidR="006763B9" w:rsidRPr="003F3FAD">
        <w:t>о</w:t>
      </w:r>
      <w:r w:rsidRPr="003F3FAD">
        <w:t xml:space="preserve"> пер</w:t>
      </w:r>
      <w:r w:rsidR="006763B9" w:rsidRPr="003F3FAD">
        <w:t>о</w:t>
      </w:r>
      <w:r w:rsidR="002C1863" w:rsidRPr="003F3FAD">
        <w:t>:</w:t>
      </w:r>
      <w:r w:rsidR="009D2D1F" w:rsidRPr="003F3FAD">
        <w:t xml:space="preserve"> </w:t>
      </w:r>
      <w:r w:rsidR="00697351" w:rsidRPr="003F3FAD">
        <w:t>Други разходи по договори с външни изпълнители</w:t>
      </w:r>
      <w:r w:rsidR="006763B9" w:rsidRPr="003F3FAD">
        <w:t xml:space="preserve"> на Бенефициента</w:t>
      </w:r>
      <w:r w:rsidR="007E0212">
        <w:t>;</w:t>
      </w:r>
    </w:p>
    <w:p w14:paraId="31932652" w14:textId="0C7F6CDF" w:rsidR="006763B9" w:rsidRPr="003F3FAD" w:rsidRDefault="006763B9" w:rsidP="007E0212">
      <w:pPr>
        <w:pStyle w:val="ListParagraph"/>
        <w:numPr>
          <w:ilvl w:val="0"/>
          <w:numId w:val="73"/>
        </w:numPr>
      </w:pPr>
      <w:r w:rsidRPr="003F3FAD">
        <w:t xml:space="preserve">Бюджетно перо: </w:t>
      </w:r>
      <w:r w:rsidR="004C7DC7">
        <w:t>Р</w:t>
      </w:r>
      <w:r w:rsidRPr="003F3FAD">
        <w:t xml:space="preserve">азходи </w:t>
      </w:r>
      <w:r w:rsidR="007E0212">
        <w:t xml:space="preserve">на </w:t>
      </w:r>
      <w:r w:rsidR="007E0212" w:rsidRPr="00007207">
        <w:t>Партньора</w:t>
      </w:r>
      <w:r w:rsidR="007E0212" w:rsidRPr="007E0212">
        <w:t xml:space="preserve"> за превод, дейности за информираност и публичност, за обм</w:t>
      </w:r>
      <w:r w:rsidR="004C7DC7">
        <w:t>яна</w:t>
      </w:r>
      <w:r w:rsidR="007E0212" w:rsidRPr="007E0212">
        <w:t xml:space="preserve"> на опит, знания и най-добри практики на управленско и експертно ниво</w:t>
      </w:r>
      <w:r w:rsidR="007E0212">
        <w:t>.</w:t>
      </w:r>
      <w:r w:rsidRPr="003F3FAD">
        <w:t xml:space="preserve"> </w:t>
      </w:r>
    </w:p>
    <w:p w14:paraId="39FD9363" w14:textId="20BAEE84" w:rsidR="0001597D" w:rsidRDefault="00632CE7" w:rsidP="008C35BF">
      <w:pPr>
        <w:rPr>
          <w:b/>
        </w:rPr>
      </w:pPr>
      <w:r w:rsidRPr="00621B83" w:rsidDel="00632CE7">
        <w:t xml:space="preserve"> </w:t>
      </w:r>
    </w:p>
    <w:p w14:paraId="055B1152" w14:textId="10C06274" w:rsidR="00A25AF4" w:rsidRPr="00621B83" w:rsidRDefault="00A25AF4" w:rsidP="00AA3049">
      <w:pPr>
        <w:keepNext/>
        <w:rPr>
          <w:b/>
        </w:rPr>
      </w:pPr>
      <w:r w:rsidRPr="00621B83">
        <w:rPr>
          <w:b/>
        </w:rPr>
        <w:t xml:space="preserve">Раздел </w:t>
      </w:r>
      <w:r w:rsidR="00632CE7">
        <w:rPr>
          <w:b/>
          <w:lang w:val="en-US"/>
        </w:rPr>
        <w:t>V</w:t>
      </w:r>
      <w:r w:rsidRPr="00621B83">
        <w:rPr>
          <w:b/>
        </w:rPr>
        <w:t xml:space="preserve">: </w:t>
      </w:r>
      <w:r w:rsidR="004534A8">
        <w:rPr>
          <w:b/>
        </w:rPr>
        <w:t>Н</w:t>
      </w:r>
      <w:r w:rsidRPr="00621B83">
        <w:rPr>
          <w:b/>
        </w:rPr>
        <w:t>епреки разходи</w:t>
      </w:r>
    </w:p>
    <w:p w14:paraId="11B42938" w14:textId="7173C3B2" w:rsidR="00740693" w:rsidRPr="00621B83" w:rsidRDefault="00740693" w:rsidP="00740693">
      <w:r w:rsidRPr="00621B83">
        <w:t>Когато Кандидатът реши да поиска с проектното предложение финансирането на непреки разходи, той следва да го отбележи във Формуляра за кандидатстване и да го отрази в отделен бюджетен раздел в бюджета по проекта поотделно за Кандидата и Партньора.</w:t>
      </w:r>
      <w:r w:rsidR="00A6382D" w:rsidRPr="00A6382D">
        <w:t xml:space="preserve"> В </w:t>
      </w:r>
      <w:r w:rsidR="00A6382D">
        <w:t xml:space="preserve">наименованието на </w:t>
      </w:r>
      <w:r w:rsidR="00A6382D" w:rsidRPr="00A6382D">
        <w:t>съответн</w:t>
      </w:r>
      <w:r w:rsidR="00A6382D">
        <w:t>ия</w:t>
      </w:r>
      <w:r w:rsidR="00A6382D" w:rsidRPr="00A6382D">
        <w:t xml:space="preserve"> бюджет</w:t>
      </w:r>
      <w:r w:rsidR="00A6382D">
        <w:t>е</w:t>
      </w:r>
      <w:r w:rsidR="00A6382D" w:rsidRPr="00A6382D">
        <w:t xml:space="preserve">н </w:t>
      </w:r>
      <w:r w:rsidR="00A6382D">
        <w:t>ред</w:t>
      </w:r>
      <w:r w:rsidR="00A6382D" w:rsidRPr="00A6382D">
        <w:t xml:space="preserve"> се посочва и избраният метод за изчисляване на непреките (режийни) разходи на Кандидата и на Партньора по т. 13.2.2. от Насоките за кандидатстване</w:t>
      </w:r>
      <w:r w:rsidR="00A6382D">
        <w:t>.</w:t>
      </w:r>
    </w:p>
    <w:p w14:paraId="146025CC" w14:textId="6180C457" w:rsidR="00AB2078" w:rsidRPr="00AB2078" w:rsidRDefault="00740693" w:rsidP="002F2113">
      <w:pPr>
        <w:rPr>
          <w:b/>
          <w:lang w:eastAsia="ar-SA"/>
        </w:rPr>
      </w:pPr>
      <w:r w:rsidRPr="00621B83">
        <w:t xml:space="preserve">При одобрение на проектното предложение в договора за БФП се отбелязва дали Бенефициентът и Партньора ще извършват непреки </w:t>
      </w:r>
      <w:r w:rsidRPr="003F3FAD">
        <w:t>разходи</w:t>
      </w:r>
      <w:r w:rsidR="00AB2078" w:rsidRPr="003F3FAD">
        <w:rPr>
          <w:b/>
          <w:lang w:eastAsia="ar-SA"/>
        </w:rPr>
        <w:t>.</w:t>
      </w:r>
    </w:p>
    <w:p w14:paraId="7F20650B" w14:textId="20B8DAFC" w:rsidR="00A12093" w:rsidRDefault="00A12093" w:rsidP="002F2113"/>
    <w:p w14:paraId="68870F0C" w14:textId="77777777" w:rsidR="0001597D" w:rsidRDefault="0001597D" w:rsidP="002F2113"/>
    <w:p w14:paraId="18D15D45" w14:textId="77777777" w:rsidR="00790306" w:rsidRDefault="00790306" w:rsidP="00790306">
      <w:pPr>
        <w:pStyle w:val="Heading2"/>
      </w:pPr>
      <w:bookmarkStart w:id="41" w:name="_Toc24983851"/>
      <w:r>
        <w:t>ПЛАЩАНИЯ</w:t>
      </w:r>
      <w:bookmarkEnd w:id="41"/>
    </w:p>
    <w:p w14:paraId="32F3E6BA" w14:textId="31813C70" w:rsidR="00790306" w:rsidRPr="000B6C2A" w:rsidRDefault="00290138" w:rsidP="00790306">
      <w:pPr>
        <w:rPr>
          <w:szCs w:val="18"/>
          <w:lang w:eastAsia="ar-SA"/>
        </w:rPr>
      </w:pPr>
      <w:r>
        <w:rPr>
          <w:szCs w:val="18"/>
          <w:lang w:eastAsia="ar-SA"/>
        </w:rPr>
        <w:t xml:space="preserve">Плащанията по </w:t>
      </w:r>
      <w:r w:rsidR="006E45EA">
        <w:rPr>
          <w:szCs w:val="18"/>
          <w:lang w:eastAsia="ar-SA"/>
        </w:rPr>
        <w:t>сключен договор за БФП са:</w:t>
      </w:r>
    </w:p>
    <w:p w14:paraId="51E72C0F" w14:textId="77777777" w:rsidR="00790306" w:rsidRPr="00DF2A21" w:rsidRDefault="00790306" w:rsidP="00DF2A21">
      <w:pPr>
        <w:numPr>
          <w:ilvl w:val="0"/>
          <w:numId w:val="11"/>
        </w:numPr>
        <w:spacing w:after="0"/>
        <w:ind w:left="709" w:hanging="352"/>
      </w:pPr>
      <w:r w:rsidRPr="00DF2A21">
        <w:t>Авансово плащане;</w:t>
      </w:r>
    </w:p>
    <w:p w14:paraId="2C922806" w14:textId="77777777" w:rsidR="00790306" w:rsidRPr="00DF2A21" w:rsidRDefault="00790306" w:rsidP="00DF2A21">
      <w:pPr>
        <w:numPr>
          <w:ilvl w:val="0"/>
          <w:numId w:val="11"/>
        </w:numPr>
        <w:spacing w:after="0"/>
        <w:ind w:left="709" w:hanging="352"/>
      </w:pPr>
      <w:r w:rsidRPr="00DF2A21">
        <w:t>Междинно/и плащане/ия;</w:t>
      </w:r>
    </w:p>
    <w:p w14:paraId="7E162938" w14:textId="77777777" w:rsidR="00790306" w:rsidRPr="00DF2A21" w:rsidRDefault="00790306" w:rsidP="00DF2A21">
      <w:pPr>
        <w:numPr>
          <w:ilvl w:val="0"/>
          <w:numId w:val="11"/>
        </w:numPr>
        <w:spacing w:after="0"/>
        <w:ind w:left="709" w:hanging="352"/>
      </w:pPr>
      <w:r w:rsidRPr="00DF2A21">
        <w:t>Окончателно плащане.</w:t>
      </w:r>
    </w:p>
    <w:p w14:paraId="33384EA4" w14:textId="45F86C47" w:rsidR="00790306" w:rsidRPr="00440D52" w:rsidRDefault="00790306" w:rsidP="00790306">
      <w:pPr>
        <w:rPr>
          <w:szCs w:val="18"/>
        </w:rPr>
      </w:pPr>
      <w:r w:rsidRPr="00440D52">
        <w:rPr>
          <w:szCs w:val="18"/>
        </w:rPr>
        <w:t xml:space="preserve">Авансовото плащане е в размер до 30 % от размера на предоставената </w:t>
      </w:r>
      <w:r w:rsidR="00290CB7">
        <w:rPr>
          <w:szCs w:val="18"/>
        </w:rPr>
        <w:t>БФП</w:t>
      </w:r>
      <w:r w:rsidRPr="00440D52">
        <w:rPr>
          <w:szCs w:val="18"/>
        </w:rPr>
        <w:t xml:space="preserve"> и се извършва в срок до 1 (един) месец след подаване през ИСУН 2020 на искане за авансово плащане с приложени:</w:t>
      </w:r>
    </w:p>
    <w:p w14:paraId="122DC8D1" w14:textId="77777777" w:rsidR="00790306" w:rsidRPr="00790306" w:rsidRDefault="00790306" w:rsidP="00DF2A21">
      <w:pPr>
        <w:numPr>
          <w:ilvl w:val="0"/>
          <w:numId w:val="11"/>
        </w:numPr>
        <w:spacing w:after="0"/>
        <w:ind w:left="709" w:hanging="352"/>
      </w:pPr>
      <w:r w:rsidRPr="00790306">
        <w:t>запис на заповед за сумата в размер на аванса;</w:t>
      </w:r>
    </w:p>
    <w:p w14:paraId="017DA83C" w14:textId="77777777" w:rsidR="00790306" w:rsidRPr="00790306" w:rsidRDefault="00790306" w:rsidP="00DF2A21">
      <w:pPr>
        <w:numPr>
          <w:ilvl w:val="0"/>
          <w:numId w:val="11"/>
        </w:numPr>
        <w:spacing w:after="0"/>
        <w:ind w:left="709" w:hanging="352"/>
      </w:pPr>
      <w:r w:rsidRPr="00790306">
        <w:lastRenderedPageBreak/>
        <w:t>финансова идентификация;</w:t>
      </w:r>
    </w:p>
    <w:p w14:paraId="4CABC303" w14:textId="77777777" w:rsidR="00790306" w:rsidRPr="00790306" w:rsidRDefault="00790306" w:rsidP="00DF2A21">
      <w:pPr>
        <w:numPr>
          <w:ilvl w:val="0"/>
          <w:numId w:val="11"/>
        </w:numPr>
        <w:spacing w:after="0"/>
        <w:ind w:left="709" w:hanging="352"/>
      </w:pPr>
      <w:r w:rsidRPr="00790306">
        <w:t>декларация за минимални и държавни помощи</w:t>
      </w:r>
      <w:r w:rsidR="00290CB7">
        <w:t xml:space="preserve"> от Партньора</w:t>
      </w:r>
      <w:r w:rsidR="00B476EC">
        <w:rPr>
          <w:lang w:val="en-US"/>
        </w:rPr>
        <w:t xml:space="preserve"> </w:t>
      </w:r>
      <w:r w:rsidRPr="00790306">
        <w:t>(ако е приложимо).</w:t>
      </w:r>
    </w:p>
    <w:p w14:paraId="7465334A" w14:textId="5CF59726" w:rsidR="00790306" w:rsidRPr="00440D52" w:rsidRDefault="00790306" w:rsidP="00790306">
      <w:pPr>
        <w:rPr>
          <w:szCs w:val="18"/>
        </w:rPr>
      </w:pPr>
      <w:r w:rsidRPr="00440D52">
        <w:rPr>
          <w:szCs w:val="18"/>
        </w:rPr>
        <w:t xml:space="preserve">Междинно плащане се извършва след подаване през ИСУН 2020 на искане за междинно плащане в срок до 10 работни дни след одобрение на съответния междинен отчет. Общият размер на авансовото и междинните плащания не може да надхвърли 80 % (осемдесет на сто) от предоставената </w:t>
      </w:r>
      <w:r w:rsidR="00290CB7">
        <w:rPr>
          <w:szCs w:val="18"/>
        </w:rPr>
        <w:t>БФП</w:t>
      </w:r>
      <w:r w:rsidRPr="00440D52">
        <w:rPr>
          <w:szCs w:val="18"/>
        </w:rPr>
        <w:t>.</w:t>
      </w:r>
    </w:p>
    <w:p w14:paraId="696D8415" w14:textId="77777777" w:rsidR="00790306" w:rsidRPr="00440D52" w:rsidRDefault="00790306" w:rsidP="00790306">
      <w:pPr>
        <w:rPr>
          <w:szCs w:val="18"/>
        </w:rPr>
      </w:pPr>
      <w:r w:rsidRPr="00440D52">
        <w:rPr>
          <w:szCs w:val="18"/>
        </w:rPr>
        <w:t>Междинния</w:t>
      </w:r>
      <w:r w:rsidR="00290CB7">
        <w:rPr>
          <w:szCs w:val="18"/>
        </w:rPr>
        <w:t>т</w:t>
      </w:r>
      <w:r w:rsidRPr="00440D52">
        <w:rPr>
          <w:szCs w:val="18"/>
        </w:rPr>
        <w:t xml:space="preserve"> финансов отчет съдържа:</w:t>
      </w:r>
    </w:p>
    <w:p w14:paraId="2971108B" w14:textId="77777777" w:rsidR="00790306" w:rsidRPr="00440D52" w:rsidRDefault="00790306" w:rsidP="00790306">
      <w:pPr>
        <w:rPr>
          <w:szCs w:val="18"/>
        </w:rPr>
      </w:pPr>
      <w:r w:rsidRPr="00440D52">
        <w:rPr>
          <w:szCs w:val="18"/>
        </w:rPr>
        <w:t>Част А – отчет на реално извършените и платени от Бенефициента разходи;</w:t>
      </w:r>
    </w:p>
    <w:p w14:paraId="71946216" w14:textId="77777777" w:rsidR="00790306" w:rsidRPr="00440D52" w:rsidRDefault="00790306" w:rsidP="00790306">
      <w:pPr>
        <w:rPr>
          <w:szCs w:val="18"/>
        </w:rPr>
      </w:pPr>
      <w:r w:rsidRPr="00440D52">
        <w:rPr>
          <w:szCs w:val="18"/>
        </w:rPr>
        <w:t>Част В – заявени прогнозни средства, които се изчисляват на база необходимите планирани средства за следващия период, намалени с неизползвания остатък от предходни периоди.</w:t>
      </w:r>
    </w:p>
    <w:p w14:paraId="6483CBAB" w14:textId="54B47627" w:rsidR="00790306" w:rsidRPr="00440D52" w:rsidRDefault="006F3169" w:rsidP="00790306">
      <w:pPr>
        <w:rPr>
          <w:szCs w:val="18"/>
        </w:rPr>
      </w:pPr>
      <w:r w:rsidRPr="006F3169">
        <w:rPr>
          <w:rFonts w:eastAsia="Calibri"/>
          <w:szCs w:val="18"/>
          <w:lang w:eastAsia="ar-SA"/>
        </w:rPr>
        <w:t xml:space="preserve">Размерът на всяко междинно плащане се определя като от сбора на заявените прогнозни средства и верифицираните до момента разходи по </w:t>
      </w:r>
      <w:r w:rsidR="00290CB7">
        <w:rPr>
          <w:rFonts w:eastAsia="Calibri"/>
          <w:szCs w:val="18"/>
          <w:lang w:eastAsia="ar-SA"/>
        </w:rPr>
        <w:t>п</w:t>
      </w:r>
      <w:r w:rsidRPr="006F3169">
        <w:rPr>
          <w:rFonts w:eastAsia="Calibri"/>
          <w:szCs w:val="18"/>
          <w:lang w:eastAsia="ar-SA"/>
        </w:rPr>
        <w:t>роекта се извадят всички плащания, извършени от Програмния оператор.</w:t>
      </w:r>
    </w:p>
    <w:p w14:paraId="2F294BB2" w14:textId="77777777" w:rsidR="00790306" w:rsidRPr="00440D52" w:rsidRDefault="00790306" w:rsidP="00790306">
      <w:pPr>
        <w:rPr>
          <w:szCs w:val="18"/>
        </w:rPr>
      </w:pPr>
      <w:r w:rsidRPr="00440D52">
        <w:rPr>
          <w:szCs w:val="18"/>
        </w:rPr>
        <w:t>Окончателно плащане се извършва след подаване през ИСУН 2020 на искане за окончателно плащане в срок до 10 работни дни след одобрение на окончателния отчет.</w:t>
      </w:r>
    </w:p>
    <w:p w14:paraId="5E49A6B5" w14:textId="2A259ED8" w:rsidR="00790306" w:rsidRPr="00621B83" w:rsidRDefault="00790306" w:rsidP="002F2113">
      <w:r w:rsidRPr="00440D52">
        <w:rPr>
          <w:szCs w:val="18"/>
        </w:rPr>
        <w:t xml:space="preserve">Размерът на окончателното плащане се изчислява, като от всички верифицирани разходи по </w:t>
      </w:r>
      <w:r w:rsidR="00290CB7">
        <w:rPr>
          <w:szCs w:val="18"/>
        </w:rPr>
        <w:t>п</w:t>
      </w:r>
      <w:r w:rsidRPr="00440D52">
        <w:rPr>
          <w:szCs w:val="18"/>
        </w:rPr>
        <w:t>роекта, финансирани чрез безвъзмездната финансова помощ, се приспаднат извършените авансово и междинни плащания.</w:t>
      </w:r>
    </w:p>
    <w:p w14:paraId="4A8D4CB0" w14:textId="77777777" w:rsidR="0026538B" w:rsidRPr="00621B83" w:rsidRDefault="0054168A" w:rsidP="0054168A">
      <w:pPr>
        <w:pStyle w:val="Heading1"/>
      </w:pPr>
      <w:bookmarkStart w:id="42" w:name="_Toc24983852"/>
      <w:r w:rsidRPr="00621B83">
        <w:t>ПРИЛОЖИМ РЕЖИМ НА МИНИМАЛНИ</w:t>
      </w:r>
      <w:r w:rsidR="0032025F" w:rsidRPr="00621B83">
        <w:t xml:space="preserve"> И </w:t>
      </w:r>
      <w:r w:rsidRPr="00621B83">
        <w:t>ДЪРЖАВНИ ПОМОЩИ</w:t>
      </w:r>
      <w:bookmarkEnd w:id="42"/>
    </w:p>
    <w:p w14:paraId="29C3DB19" w14:textId="77777777" w:rsidR="00113524" w:rsidRPr="00621B83" w:rsidRDefault="00113524" w:rsidP="00113524">
      <w:pPr>
        <w:autoSpaceDE w:val="0"/>
        <w:autoSpaceDN w:val="0"/>
        <w:adjustRightInd w:val="0"/>
        <w:spacing w:after="0"/>
        <w:rPr>
          <w:rFonts w:eastAsia="ArialMT"/>
        </w:rPr>
      </w:pPr>
      <w:r w:rsidRPr="00621B83">
        <w:rPr>
          <w:rFonts w:eastAsia="ArialMT"/>
        </w:rPr>
        <w:t xml:space="preserve">Предоставянето на публичен ресурс, в това число </w:t>
      </w:r>
      <w:r w:rsidR="00103223" w:rsidRPr="00621B83">
        <w:rPr>
          <w:rFonts w:eastAsia="ArialMT"/>
        </w:rPr>
        <w:t>БФП</w:t>
      </w:r>
      <w:r w:rsidRPr="00621B83">
        <w:rPr>
          <w:rFonts w:eastAsia="ArialMT"/>
        </w:rPr>
        <w:t xml:space="preserve"> по настоящата процедура трябва да е съобразено с правилата за държавни помощи, като се отчита принципната недопустимост на държавните помощи и възможните хипотези на съвместимост, които Договорът за функциониране на Европейския съюз, Регламентите и националното законодателство предвиждат.</w:t>
      </w:r>
    </w:p>
    <w:p w14:paraId="59B91BC8" w14:textId="77777777" w:rsidR="005D3FC7" w:rsidRPr="00277A99" w:rsidRDefault="004A1136" w:rsidP="00277A99">
      <w:pPr>
        <w:pStyle w:val="Heading2"/>
      </w:pPr>
      <w:bookmarkStart w:id="43" w:name="_Toc24983853"/>
      <w:r w:rsidRPr="00277A99">
        <w:t>За кандидатите</w:t>
      </w:r>
      <w:bookmarkEnd w:id="43"/>
    </w:p>
    <w:p w14:paraId="2D6BAF5C" w14:textId="77777777" w:rsidR="00F3429F" w:rsidRPr="00621B83" w:rsidRDefault="00F3429F" w:rsidP="00F3429F">
      <w:pPr>
        <w:autoSpaceDE w:val="0"/>
        <w:autoSpaceDN w:val="0"/>
        <w:adjustRightInd w:val="0"/>
        <w:spacing w:after="0"/>
        <w:rPr>
          <w:rFonts w:eastAsia="ArialMT"/>
        </w:rPr>
      </w:pPr>
      <w:r w:rsidRPr="00621B83">
        <w:rPr>
          <w:rFonts w:eastAsia="ArialMT"/>
        </w:rPr>
        <w:t>Кандидатите по настоящата процедура за предоставяне на БФП са длъжни да спазват законодателството в областта на обществените поръчки и държавните помощи и да не допуснат средствата, получени по договора за БФП, да бъдат предоставени на трети лица в нарушение на режима на държавни помощи. В случаите, когато в рамките на конкретен проект би се стигнало до отпускане на държавна помощ на трети лица, Бенефициентите са администратори на помощ и като такива се задължават да осигурят пълно съответствие с приложимия режим по държавни помощи, както и да изпълнят задълженията си на администратори, произтичащи от Закона за държавните помощи или други нормативни актове.</w:t>
      </w:r>
    </w:p>
    <w:p w14:paraId="17331EE3" w14:textId="77777777" w:rsidR="00F3429F" w:rsidRPr="00621B83" w:rsidRDefault="00F3429F" w:rsidP="00F3429F">
      <w:pPr>
        <w:rPr>
          <w:rFonts w:eastAsia="ArialMT"/>
        </w:rPr>
      </w:pPr>
      <w:r w:rsidRPr="00621B83">
        <w:rPr>
          <w:rFonts w:eastAsia="ArialMT"/>
        </w:rPr>
        <w:t xml:space="preserve">Правилата за държавни помощи се прилагат към всяко отделно проектно предложение. </w:t>
      </w:r>
    </w:p>
    <w:p w14:paraId="1F34A25D" w14:textId="77777777" w:rsidR="00F3429F" w:rsidRPr="00621B83" w:rsidRDefault="00F3429F" w:rsidP="00F3429F">
      <w:pPr>
        <w:rPr>
          <w:rFonts w:eastAsia="ArialMT"/>
        </w:rPr>
      </w:pPr>
      <w:r w:rsidRPr="00621B83">
        <w:rPr>
          <w:rFonts w:eastAsia="ArialMT"/>
        </w:rPr>
        <w:t>Обект на интервенция по настоящата процедура е общинска инфраструктура - системи за външно изкуствено осветление, като „система за външно изкуствено осветление“ означава съвкупност от съоръжения и мрежи за осигуряване на външно изкуствено осветление на имоти публична общинска собственост, разположени в отделно населено място или на обособена/и част/и от него на територията на съответната община.</w:t>
      </w:r>
      <w:r w:rsidRPr="00716C51">
        <w:t xml:space="preserve"> </w:t>
      </w:r>
      <w:r w:rsidRPr="00621B83">
        <w:rPr>
          <w:rFonts w:eastAsia="ArialMT"/>
        </w:rPr>
        <w:t>Предоставянето на БФП касае само инвестиции в публична, общодостъпна инфраструктура и попада в упражняването на публични правомощия на общините.</w:t>
      </w:r>
    </w:p>
    <w:p w14:paraId="41459098" w14:textId="77777777" w:rsidR="00F3429F" w:rsidRPr="00621B83" w:rsidRDefault="00F3429F" w:rsidP="00F3429F">
      <w:pPr>
        <w:rPr>
          <w:rFonts w:eastAsia="ArialMT"/>
        </w:rPr>
      </w:pPr>
      <w:r w:rsidRPr="00621B83">
        <w:rPr>
          <w:rFonts w:eastAsia="ArialMT"/>
        </w:rPr>
        <w:lastRenderedPageBreak/>
        <w:t>Тази система не попада в обхвата на понятието „енергийна инфраструктура“ по смисъла на пар. 31 от Насоките относно държавната помощ за опазване на околната среда и за енергетика за периода 2014-2020 г. (2014/С 200/01), тъй като с тази инфраструктура не се осъществяват дейностите по пренос и разпределение на електрическа енергия, а същата се явява потребител на доставена</w:t>
      </w:r>
      <w:r w:rsidR="00BB36D3" w:rsidRPr="00621B83">
        <w:rPr>
          <w:rFonts w:eastAsia="ArialMT"/>
        </w:rPr>
        <w:t>та</w:t>
      </w:r>
      <w:r w:rsidRPr="00621B83">
        <w:rPr>
          <w:rFonts w:eastAsia="ArialMT"/>
        </w:rPr>
        <w:t xml:space="preserve"> енергия.</w:t>
      </w:r>
    </w:p>
    <w:p w14:paraId="24C8E3A6" w14:textId="77777777" w:rsidR="00F3429F" w:rsidRPr="00621B83" w:rsidRDefault="00F3429F" w:rsidP="00F3429F">
      <w:pPr>
        <w:rPr>
          <w:rFonts w:eastAsia="ArialMT"/>
        </w:rPr>
      </w:pPr>
      <w:r w:rsidRPr="00621B83">
        <w:rPr>
          <w:rFonts w:eastAsia="ArialMT"/>
        </w:rPr>
        <w:t>Предоставянето на БФП касае само инфраструктурата, но не и извършването на услугата, предоставяна чрез нея.</w:t>
      </w:r>
    </w:p>
    <w:p w14:paraId="49D21545" w14:textId="77777777" w:rsidR="00F3429F" w:rsidRPr="00621B83" w:rsidRDefault="00F3429F" w:rsidP="00F3429F">
      <w:pPr>
        <w:autoSpaceDE w:val="0"/>
        <w:autoSpaceDN w:val="0"/>
        <w:adjustRightInd w:val="0"/>
        <w:spacing w:after="0"/>
        <w:rPr>
          <w:rFonts w:eastAsia="ArialMT"/>
        </w:rPr>
      </w:pPr>
      <w:r w:rsidRPr="00621B83">
        <w:rPr>
          <w:rFonts w:eastAsia="ArialMT"/>
          <w:b/>
        </w:rPr>
        <w:t>Ползвателите на инфраструктурата</w:t>
      </w:r>
      <w:r w:rsidRPr="00621B83">
        <w:rPr>
          <w:rFonts w:eastAsia="ArialMT"/>
        </w:rPr>
        <w:t>, следва да се съобрази, че това са жителите и посетителите на съответното населено място, на територията на което е разположена системата за външно изкуствено осветление. Предвид че това са физически лица, които не изпълняват икономическа дейност, наличието на държавна помощ е изключено, тъй като такава може да съществува, само когато получателят е предприятие.</w:t>
      </w:r>
      <w:r w:rsidRPr="00716C51">
        <w:t xml:space="preserve"> </w:t>
      </w:r>
      <w:r w:rsidRPr="00621B83">
        <w:rPr>
          <w:rFonts w:eastAsia="ArialMT"/>
        </w:rPr>
        <w:t>Предоставянето чрез инфраструктурата на услугата външно изкуствено осветление на общината има общодостъпен характер за всички крайни ползватели, тъй като тя се ползва по еднакъв начин и при еднакви условия. Поради това липсва измеримо икономическо предимство за конкретен краен ползвател спрямо останалите.</w:t>
      </w:r>
    </w:p>
    <w:p w14:paraId="1B86DA3A" w14:textId="77777777" w:rsidR="00F3429F" w:rsidRPr="00621B83" w:rsidRDefault="00F3429F" w:rsidP="00F3429F">
      <w:pPr>
        <w:autoSpaceDE w:val="0"/>
        <w:autoSpaceDN w:val="0"/>
        <w:adjustRightInd w:val="0"/>
        <w:spacing w:after="0"/>
        <w:rPr>
          <w:rFonts w:eastAsia="ArialMT"/>
        </w:rPr>
      </w:pPr>
      <w:r w:rsidRPr="00621B83">
        <w:rPr>
          <w:rFonts w:eastAsia="ArialMT"/>
          <w:b/>
        </w:rPr>
        <w:t xml:space="preserve">Собственик на инфраструктурата </w:t>
      </w:r>
      <w:r w:rsidRPr="00621B83">
        <w:rPr>
          <w:rFonts w:eastAsia="ArialMT"/>
        </w:rPr>
        <w:t xml:space="preserve">са общините, единствени възможни </w:t>
      </w:r>
      <w:r w:rsidR="00BB36D3" w:rsidRPr="00621B83">
        <w:rPr>
          <w:rFonts w:eastAsia="ArialMT"/>
        </w:rPr>
        <w:t xml:space="preserve">Кандидати </w:t>
      </w:r>
      <w:r w:rsidRPr="00621B83">
        <w:rPr>
          <w:rFonts w:eastAsia="ArialMT"/>
        </w:rPr>
        <w:t>по настоящата процедура.</w:t>
      </w:r>
    </w:p>
    <w:p w14:paraId="1F6E949A" w14:textId="77777777" w:rsidR="00F3429F" w:rsidRPr="00621B83" w:rsidRDefault="00F3429F" w:rsidP="00F3429F">
      <w:pPr>
        <w:autoSpaceDE w:val="0"/>
        <w:autoSpaceDN w:val="0"/>
        <w:adjustRightInd w:val="0"/>
        <w:spacing w:after="0"/>
        <w:rPr>
          <w:rFonts w:eastAsia="ArialMT"/>
        </w:rPr>
      </w:pPr>
      <w:r w:rsidRPr="00621B83">
        <w:rPr>
          <w:rFonts w:eastAsia="ArialMT"/>
        </w:rPr>
        <w:t>В Закона за местното самоуправление и местната администрация (ЗМСМА) общината е определена като основна административно-териториална единица, в която се осъществява местното самоуправление. Органи на общината са общинският съвет и кметът. Съгласно чл.17, ал. 1 от ЗМСМА местното самоуправление се изразява в правото и възможността гражданите и избраните от тях органи да решават самостоятелно всички въпроси от местно значение, които законът е предоставил в тяхна компетентност, включително тези в сферата на общинското имущество, устройството и развитието на територията на общината и на населените места в нея, благоустрояването и комуналните дейности.</w:t>
      </w:r>
    </w:p>
    <w:p w14:paraId="70478DE4" w14:textId="77777777" w:rsidR="00F3429F" w:rsidRPr="00621B83" w:rsidRDefault="00F3429F" w:rsidP="00F3429F">
      <w:pPr>
        <w:autoSpaceDE w:val="0"/>
        <w:autoSpaceDN w:val="0"/>
        <w:adjustRightInd w:val="0"/>
        <w:spacing w:after="0"/>
        <w:rPr>
          <w:rFonts w:eastAsia="ArialMT"/>
        </w:rPr>
      </w:pPr>
      <w:r w:rsidRPr="00621B83">
        <w:rPr>
          <w:rFonts w:eastAsia="ArialMT"/>
        </w:rPr>
        <w:t>Основна дейност и отговорност на общината е задоволяване потребностите на населението.</w:t>
      </w:r>
    </w:p>
    <w:p w14:paraId="041B5BA4" w14:textId="77777777" w:rsidR="00F3429F" w:rsidRPr="00621B83" w:rsidRDefault="00F3429F" w:rsidP="00F3429F">
      <w:pPr>
        <w:autoSpaceDE w:val="0"/>
        <w:autoSpaceDN w:val="0"/>
        <w:adjustRightInd w:val="0"/>
        <w:spacing w:after="0"/>
        <w:rPr>
          <w:rFonts w:eastAsia="ArialMT"/>
        </w:rPr>
      </w:pPr>
      <w:r w:rsidRPr="00621B83">
        <w:rPr>
          <w:rFonts w:eastAsia="ArialMT"/>
        </w:rPr>
        <w:t xml:space="preserve">В чл. 2, ал. 1 от Закона за общинската собственост е предвидено, че имотите и вещите, определени със закон или предоставени в собственост на общината със закон са публична общинска собственост. Съгласно § 7 от преходните и заключителни разпоредби на ЗМСМА с влизането в сила на закона, т. е. от 17.09.1991 г., в собственост на общините преминават определени държавни имоти, включително мрежите и съоръженията на техническата инфраструктура на енергийната система, които обслужват само територията на съответната община и не са включени в уставния фонд на търговски дружества. С влизането в сила на Закона за енергетиката на 12.12.2003 г. с § 4, ал. 8 от неговите преходни и заключителни разпоредби е предвидено задължение в 2-годишен срок енергийните предприятия да прехвърлят безвъзмездно включените в активите им съоръжения за външно изкуствено осветление на улици, площади, паркове, градини и други недвижими имоти - публична общинска собственост, на съответните общини. </w:t>
      </w:r>
    </w:p>
    <w:p w14:paraId="28976724" w14:textId="77777777" w:rsidR="00F3429F" w:rsidRPr="00621B83" w:rsidRDefault="00F3429F" w:rsidP="00F3429F">
      <w:pPr>
        <w:autoSpaceDE w:val="0"/>
        <w:autoSpaceDN w:val="0"/>
        <w:adjustRightInd w:val="0"/>
        <w:spacing w:after="0"/>
        <w:rPr>
          <w:rFonts w:eastAsia="ArialMT"/>
        </w:rPr>
      </w:pPr>
      <w:r w:rsidRPr="00621B83">
        <w:rPr>
          <w:rFonts w:eastAsia="ArialMT"/>
        </w:rPr>
        <w:t>Съгласно пар. 208 от Известието изграждането на инфраструктура или на част от нея, може да попадне в упражняването на публични правомощия, в който случай публичното финансиране на инфраструктурата (или на съответната част от нея) не е предмет на правилата за държавни помощи.</w:t>
      </w:r>
    </w:p>
    <w:p w14:paraId="535C8B45" w14:textId="77777777" w:rsidR="00F3429F" w:rsidRPr="00621B83" w:rsidRDefault="00F3429F" w:rsidP="00F3429F">
      <w:pPr>
        <w:autoSpaceDE w:val="0"/>
        <w:autoSpaceDN w:val="0"/>
        <w:adjustRightInd w:val="0"/>
        <w:spacing w:after="0"/>
        <w:rPr>
          <w:rFonts w:eastAsia="ArialMT"/>
        </w:rPr>
      </w:pPr>
      <w:r w:rsidRPr="00621B83">
        <w:rPr>
          <w:rFonts w:eastAsia="ArialMT"/>
        </w:rPr>
        <w:lastRenderedPageBreak/>
        <w:t xml:space="preserve">Кандидатите - общини, представляват публични субекти – структури на местната власт и основна административно-териториална единица, в която се осъществява местното самоуправление. Общините са създадени като териториални органи на изпълнителната власт за изпълнение на държавната политика в интерес на териториалната общност от местно значение. По силата на чл. 6, ал. 3 от Закона за енергетиката кметовете на общини осигуряват изграждането, експлоатацията, поддържането и развитието на мрежите и съоръженията за външно осветление на територията на общината за имоти - общинска собственост.  </w:t>
      </w:r>
    </w:p>
    <w:p w14:paraId="2057C2F1" w14:textId="77777777" w:rsidR="00F3429F" w:rsidRPr="00621B83" w:rsidRDefault="00F3429F" w:rsidP="00F3429F">
      <w:pPr>
        <w:autoSpaceDE w:val="0"/>
        <w:autoSpaceDN w:val="0"/>
        <w:adjustRightInd w:val="0"/>
        <w:spacing w:after="0"/>
        <w:rPr>
          <w:rFonts w:eastAsia="ArialMT"/>
        </w:rPr>
      </w:pPr>
      <w:r w:rsidRPr="00621B83">
        <w:rPr>
          <w:rFonts w:eastAsia="ArialMT"/>
        </w:rPr>
        <w:t>Съгласно пар.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В допълнение, според пар. 18 от Известието „Доколкото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тази стопанска дейност не може да бъде отделена от 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w:t>
      </w:r>
      <w:r w:rsidR="00C84D17" w:rsidRPr="00621B83">
        <w:rPr>
          <w:rFonts w:eastAsia="ArialMT"/>
        </w:rPr>
        <w:t>“</w:t>
      </w:r>
      <w:r w:rsidRPr="00621B83">
        <w:rPr>
          <w:rFonts w:eastAsia="ArialMT"/>
        </w:rPr>
        <w:t>.</w:t>
      </w:r>
    </w:p>
    <w:p w14:paraId="61DE481A" w14:textId="77777777" w:rsidR="00F3429F" w:rsidRPr="00621B83" w:rsidRDefault="00F3429F" w:rsidP="00F3429F">
      <w:pPr>
        <w:autoSpaceDE w:val="0"/>
        <w:autoSpaceDN w:val="0"/>
        <w:adjustRightInd w:val="0"/>
        <w:spacing w:after="0"/>
        <w:rPr>
          <w:rFonts w:eastAsia="ArialMT"/>
        </w:rPr>
      </w:pPr>
      <w:r w:rsidRPr="00621B83">
        <w:rPr>
          <w:rFonts w:eastAsia="ArialMT"/>
        </w:rPr>
        <w:t>В този смисъл системата за външно изкуствено осветление трябва да се ползва по предназначение и субектът, който я управлява/ползва не трябва да реализира приходи от нея или ако има приходи, те трябва да са пренебрежимо малки спрямо неикономическата дейност.</w:t>
      </w:r>
    </w:p>
    <w:p w14:paraId="27810243" w14:textId="77777777" w:rsidR="00F3429F" w:rsidRPr="00621B83" w:rsidRDefault="00C84D17" w:rsidP="00F3429F">
      <w:pPr>
        <w:autoSpaceDE w:val="0"/>
        <w:autoSpaceDN w:val="0"/>
        <w:adjustRightInd w:val="0"/>
        <w:spacing w:after="0"/>
        <w:rPr>
          <w:rFonts w:eastAsia="ArialMT"/>
        </w:rPr>
      </w:pPr>
      <w:r w:rsidRPr="00621B83">
        <w:rPr>
          <w:rFonts w:eastAsia="ArialMT"/>
        </w:rPr>
        <w:t xml:space="preserve">Безвъзмездната финансова помощ </w:t>
      </w:r>
      <w:r w:rsidR="00F3429F" w:rsidRPr="00621B83">
        <w:rPr>
          <w:rFonts w:eastAsia="ArialMT"/>
        </w:rPr>
        <w:t xml:space="preserve">в рамките на тази процедура се предоставя на общините </w:t>
      </w:r>
      <w:r w:rsidRPr="00621B83">
        <w:rPr>
          <w:rFonts w:eastAsia="ArialMT"/>
        </w:rPr>
        <w:t>Б</w:t>
      </w:r>
      <w:r w:rsidR="00F3429F" w:rsidRPr="00621B83">
        <w:rPr>
          <w:rFonts w:eastAsia="ArialMT"/>
        </w:rPr>
        <w:t xml:space="preserve">енефициенти в качеството им на органи на публичната власт и собственици на публична инфраструктура, които са длъжни да осигурят предоставянето на основни услуги за населението на тяхната територия и да осигурят поддържането на инфраструктурата. </w:t>
      </w:r>
    </w:p>
    <w:p w14:paraId="1B407EA3" w14:textId="77777777" w:rsidR="00F3429F" w:rsidRPr="00621B83" w:rsidRDefault="00F3429F" w:rsidP="00F3429F">
      <w:pPr>
        <w:autoSpaceDE w:val="0"/>
        <w:autoSpaceDN w:val="0"/>
        <w:adjustRightInd w:val="0"/>
        <w:spacing w:after="0"/>
        <w:rPr>
          <w:rFonts w:eastAsia="ArialMT"/>
        </w:rPr>
      </w:pPr>
      <w:r w:rsidRPr="00621B83">
        <w:rPr>
          <w:rFonts w:eastAsia="ArialMT"/>
        </w:rPr>
        <w:t>По настоящата процедура, за да бъде допустим проектът, Кандидатът следва да докаже, че системата/ите за външно изкуствено осветление е в имот/и - публична общинска собственост, както и да е собственик на системата/ите. Тези системи, както е посочено, по силата на ЗЕ и ЗМСМА са публична общинска собственост.</w:t>
      </w:r>
    </w:p>
    <w:p w14:paraId="1446F2D5" w14:textId="77777777" w:rsidR="00F3429F" w:rsidRPr="00621B83" w:rsidRDefault="00F3429F" w:rsidP="00F3429F">
      <w:pPr>
        <w:autoSpaceDE w:val="0"/>
        <w:autoSpaceDN w:val="0"/>
        <w:adjustRightInd w:val="0"/>
        <w:spacing w:after="0"/>
        <w:rPr>
          <w:rFonts w:eastAsia="ArialMT"/>
        </w:rPr>
      </w:pPr>
      <w:r w:rsidRPr="00621B83">
        <w:rPr>
          <w:rFonts w:eastAsia="ArialMT"/>
        </w:rPr>
        <w:t>Съгласно чл. 7, ал. 1 и 2 от Закона за общинската собственост имотите и вещите - публична общинска собственост, не могат да се придобиват по давност, не могат да се отчуждават и да се прехвърлят в собственост на трети лица, и могат да се обременяват с ограничени вещни права само в случаите, определени със закон.</w:t>
      </w:r>
    </w:p>
    <w:p w14:paraId="00DE9107" w14:textId="77777777" w:rsidR="00F3429F" w:rsidRPr="00621B83" w:rsidRDefault="00F3429F" w:rsidP="00F3429F">
      <w:pPr>
        <w:autoSpaceDE w:val="0"/>
        <w:autoSpaceDN w:val="0"/>
        <w:adjustRightInd w:val="0"/>
        <w:spacing w:after="0"/>
        <w:rPr>
          <w:rFonts w:eastAsia="ArialMT"/>
        </w:rPr>
      </w:pPr>
      <w:r w:rsidRPr="00621B83">
        <w:rPr>
          <w:rFonts w:eastAsia="ArialMT"/>
        </w:rPr>
        <w:t>Въз основа на гореизложеното и предвид правомощието на кметовете на общини да осигуряват изграждането, експлоатацията, поддържането и развитието на мрежите и съоръженията за външно осветление на територията на общината за имоти - общинска собственост (чл. 6, ал. 3 от ЗЕ), рехабилитацията и модернизацията на инфраструктурата, обект на интервенция по настоящата процедура, попада в упражняването на публични правомощия, поради което публичното й финансиране не е предмет на правилата за държавни помощи.</w:t>
      </w:r>
    </w:p>
    <w:p w14:paraId="756E5D22" w14:textId="77777777" w:rsidR="00F3429F" w:rsidRPr="00621B83" w:rsidRDefault="00F3429F" w:rsidP="00F3429F">
      <w:pPr>
        <w:autoSpaceDE w:val="0"/>
        <w:autoSpaceDN w:val="0"/>
        <w:adjustRightInd w:val="0"/>
        <w:spacing w:after="0"/>
        <w:rPr>
          <w:rFonts w:eastAsia="ArialMT"/>
        </w:rPr>
      </w:pPr>
      <w:r w:rsidRPr="00621B83">
        <w:rPr>
          <w:rFonts w:eastAsia="ArialMT"/>
        </w:rPr>
        <w:t>С оглед на посоченото може да се направи изводът, че предоставяната БФП по настоящата процедура, попада извън обхвата на правилата по държавните помощи за общините, тъй като представлява трансфер на средства от един публичен орган към друг с оглед изпълнение на законово определени правомощия.</w:t>
      </w:r>
    </w:p>
    <w:p w14:paraId="25F7C5E9" w14:textId="77777777" w:rsidR="00F3429F" w:rsidRPr="00621B83" w:rsidRDefault="00F3429F" w:rsidP="00F3429F">
      <w:pPr>
        <w:autoSpaceDE w:val="0"/>
        <w:autoSpaceDN w:val="0"/>
        <w:adjustRightInd w:val="0"/>
        <w:spacing w:after="0"/>
        <w:rPr>
          <w:rFonts w:eastAsia="ArialMT"/>
        </w:rPr>
      </w:pPr>
      <w:r w:rsidRPr="00621B83">
        <w:rPr>
          <w:rFonts w:eastAsia="ArialMT"/>
        </w:rPr>
        <w:lastRenderedPageBreak/>
        <w:t xml:space="preserve">Съгласно чл. 12, ал. 1 от Закона за общинската собственост имотите и вещите - общинска собственост, се предоставят безвъзмездно за управление на юридически лица и звена на общинска бюджетна издръжка. </w:t>
      </w:r>
    </w:p>
    <w:p w14:paraId="2D703185" w14:textId="7F2F48D2" w:rsidR="00F3429F" w:rsidRPr="00621B83" w:rsidRDefault="00F3429F" w:rsidP="00F3429F">
      <w:pPr>
        <w:autoSpaceDE w:val="0"/>
        <w:autoSpaceDN w:val="0"/>
        <w:adjustRightInd w:val="0"/>
        <w:spacing w:after="0"/>
        <w:rPr>
          <w:rFonts w:eastAsia="ArialMT"/>
        </w:rPr>
      </w:pPr>
      <w:r w:rsidRPr="00621B83">
        <w:rPr>
          <w:rFonts w:eastAsia="ArialMT"/>
        </w:rPr>
        <w:t xml:space="preserve">Мерките, финансирани по настоящата процедура представляват реконструкция на инфраструктура с отворен достъп, а именно система/и за външно изкуствено осветление, която е обществено достъпна и няма да бъде експлоатирана по икономически начин. Инфраструктурата се използва по неикономически начин, тъй като общината не реализира приходи от управлението и ползването й (съгласно пар. 18 от Известието). </w:t>
      </w:r>
    </w:p>
    <w:p w14:paraId="442885CC" w14:textId="77777777" w:rsidR="00F3429F" w:rsidRPr="00621B83" w:rsidRDefault="00F3429F" w:rsidP="00F3429F">
      <w:pPr>
        <w:autoSpaceDE w:val="0"/>
        <w:autoSpaceDN w:val="0"/>
        <w:adjustRightInd w:val="0"/>
        <w:spacing w:after="0"/>
        <w:rPr>
          <w:rFonts w:eastAsia="ArialMT"/>
        </w:rPr>
      </w:pPr>
      <w:r w:rsidRPr="00621B83">
        <w:rPr>
          <w:rFonts w:eastAsia="ArialMT"/>
        </w:rPr>
        <w:t>Общината възлага управлението на инфраструктурата на юридическо лице по реда на Закона за обществените поръчки, при прилагане на  открита, прозрачна, достатъчно добре разгласена и недискриминационна процедура.</w:t>
      </w:r>
    </w:p>
    <w:p w14:paraId="61A1ABB7" w14:textId="77777777" w:rsidR="00A65680" w:rsidRPr="00621B83" w:rsidRDefault="00A65680" w:rsidP="00A65680">
      <w:pPr>
        <w:autoSpaceDE w:val="0"/>
        <w:autoSpaceDN w:val="0"/>
        <w:adjustRightInd w:val="0"/>
        <w:spacing w:after="0"/>
        <w:rPr>
          <w:rFonts w:eastAsia="ArialMT"/>
        </w:rPr>
      </w:pPr>
      <w:r w:rsidRPr="00621B83">
        <w:rPr>
          <w:rFonts w:eastAsia="ArialMT"/>
          <w:b/>
        </w:rPr>
        <w:t xml:space="preserve">При спазване на посочените условия средствата, предоставени на </w:t>
      </w:r>
      <w:r w:rsidR="002C1FFB" w:rsidRPr="00621B83">
        <w:rPr>
          <w:rFonts w:eastAsia="ArialMT"/>
          <w:b/>
        </w:rPr>
        <w:t xml:space="preserve">Бенефициента </w:t>
      </w:r>
      <w:r w:rsidRPr="00621B83">
        <w:rPr>
          <w:rFonts w:eastAsia="ArialMT"/>
          <w:b/>
        </w:rPr>
        <w:t>по настоящата процедура, не представляват държавна помощ.</w:t>
      </w:r>
    </w:p>
    <w:p w14:paraId="124565B2" w14:textId="77777777" w:rsidR="004467CD" w:rsidRPr="00716C51" w:rsidRDefault="004467CD" w:rsidP="00277A99">
      <w:pPr>
        <w:pStyle w:val="Heading2"/>
      </w:pPr>
      <w:bookmarkStart w:id="44" w:name="_Toc24983854"/>
      <w:r w:rsidRPr="00716C51">
        <w:t xml:space="preserve">За </w:t>
      </w:r>
      <w:r w:rsidRPr="00277A99">
        <w:t>партньорите</w:t>
      </w:r>
      <w:bookmarkEnd w:id="44"/>
    </w:p>
    <w:p w14:paraId="0B5B2BD1" w14:textId="77777777" w:rsidR="00F3429F" w:rsidRPr="00621B83" w:rsidRDefault="00F3429F" w:rsidP="00F3429F">
      <w:bookmarkStart w:id="45" w:name="p35633176"/>
      <w:bookmarkEnd w:id="45"/>
      <w:r w:rsidRPr="00621B83">
        <w:t>По тази процедура за подбор на проектни предложения по отношение на Партньорите, се прилагат два режима –</w:t>
      </w:r>
      <w:r w:rsidR="005A2784" w:rsidRPr="00621B83">
        <w:t xml:space="preserve"> </w:t>
      </w:r>
      <w:r w:rsidRPr="00621B83">
        <w:t xml:space="preserve">на „не помощ“ и на „минимална помощ“. </w:t>
      </w:r>
    </w:p>
    <w:p w14:paraId="43ACB5B6" w14:textId="77777777" w:rsidR="00F3429F" w:rsidRPr="00621B83" w:rsidRDefault="00F3429F" w:rsidP="00F3429F">
      <w:r w:rsidRPr="00621B83">
        <w:t xml:space="preserve">За </w:t>
      </w:r>
      <w:r w:rsidR="00C021CC" w:rsidRPr="00621B83">
        <w:t>Партньорите</w:t>
      </w:r>
      <w:r w:rsidRPr="00621B83">
        <w:t xml:space="preserve">, които не са предприятия, нямат стопанска дейност и за целите на проекта няма да извършват стопански дейности, финансирането по тези насоки се явява „не помощ“. Когато </w:t>
      </w:r>
      <w:r w:rsidR="00C021CC" w:rsidRPr="00621B83">
        <w:t xml:space="preserve">Партньорите </w:t>
      </w:r>
      <w:r w:rsidRPr="00621B83">
        <w:t>са предприятия</w:t>
      </w:r>
      <w:r w:rsidRPr="00716C51">
        <w:t xml:space="preserve"> </w:t>
      </w:r>
      <w:r w:rsidRPr="00621B83">
        <w:t>по смисъла на правилата за конкуренцията, упражняват стопанска дейност и планират да извършват стопански дейности за целите на проекта, за тях се прилагат правилата за помощ „de minimis” съгласно Регламент (ЕС) № 1407/2013, като се проследяват съответствията с изискванията на регламента и натрупването на минимална помощ на територията на Република България.</w:t>
      </w:r>
    </w:p>
    <w:p w14:paraId="53C3D737" w14:textId="77777777" w:rsidR="00F3429F" w:rsidRPr="00621B83" w:rsidRDefault="00F3429F" w:rsidP="003C4D0E">
      <w:r w:rsidRPr="00621B83">
        <w:t>По отношение на приложимите тавани и за целите на натрупването на помощи, следва да се отчитат разпоредбите на чл. 3, пар. 2 от Регламент (ЕС) № 1407/2013, като следователно обект на проверка е общият размер на помощта </w:t>
      </w:r>
      <w:r w:rsidR="00F66D7F" w:rsidRPr="00621B83">
        <w:t>„</w:t>
      </w:r>
      <w:r w:rsidRPr="00621B83">
        <w:t>de minimis</w:t>
      </w:r>
      <w:r w:rsidR="00F66D7F" w:rsidRPr="00621B83">
        <w:t>“</w:t>
      </w:r>
      <w:r w:rsidRPr="00621B83">
        <w:t xml:space="preserve"> на ниво едно и също предприятие, за период от три бюджетни години, с източник от Република България. </w:t>
      </w:r>
    </w:p>
    <w:p w14:paraId="1B24397E" w14:textId="77777777" w:rsidR="00F3429F" w:rsidRPr="00621B83" w:rsidRDefault="00F3429F" w:rsidP="00F3429F">
      <w:r w:rsidRPr="00621B83">
        <w:t>Партньорът/ите могат да разходват средства единствено за допустимите за тях дейности, описани в т. 12.1. по-горе. Партньорите нямат отношение към извършването на услугата по осигуряване на външно изкуствено осветление на общините.</w:t>
      </w:r>
    </w:p>
    <w:p w14:paraId="57BE4873" w14:textId="77777777" w:rsidR="00F3429F" w:rsidRPr="00621B83" w:rsidRDefault="00F3429F" w:rsidP="00F3429F">
      <w:r w:rsidRPr="00621B83">
        <w:t xml:space="preserve">Размерът на финансирането за </w:t>
      </w:r>
      <w:r w:rsidR="00C021CC" w:rsidRPr="00621B83">
        <w:t>Партньорите</w:t>
      </w:r>
      <w:r w:rsidRPr="00621B83">
        <w:t>, както и отпуснатата минимална помощ по настоящата процедура ще бъде записан в договора за предоставяне на БФП.</w:t>
      </w:r>
    </w:p>
    <w:p w14:paraId="39EE4E07" w14:textId="77777777" w:rsidR="00F3429F" w:rsidRPr="00621B83" w:rsidRDefault="00F3429F" w:rsidP="00F3429F">
      <w:r w:rsidRPr="00621B83">
        <w:t>Когато подпомагането е в режим „de minimis“, не са допустими за участие в процедурата Партньори, които попадат в забранителния режим на Регламент (ЕС) № 1407/2013 и конкретно тяхната дейност или дейността, за която кандидатстват за финансиране се отнася до:</w:t>
      </w:r>
    </w:p>
    <w:p w14:paraId="06342BC0" w14:textId="77777777" w:rsidR="00F3429F" w:rsidRPr="00621B83" w:rsidRDefault="00F3429F" w:rsidP="00F3429F">
      <w:pPr>
        <w:numPr>
          <w:ilvl w:val="0"/>
          <w:numId w:val="11"/>
        </w:numPr>
        <w:spacing w:after="0"/>
        <w:ind w:left="709" w:hanging="352"/>
      </w:pPr>
      <w:r w:rsidRPr="00621B83">
        <w:t xml:space="preserve">помощи, предоставяни на предприятия, които извършват дейност в сектора на рибарството и аквакултурите, обхванати от Регламент (ЕО) № 104/2000 на Съвета от 17 декември 1999 година относно общата организация на пазарите на рибни продукти и продукти от аквакултури (ОВ, L 17, 21.1.2000 г., стр. 22); </w:t>
      </w:r>
    </w:p>
    <w:p w14:paraId="1A7F29FD" w14:textId="77777777" w:rsidR="00F3429F" w:rsidRPr="00621B83" w:rsidRDefault="00F3429F" w:rsidP="00F3429F">
      <w:pPr>
        <w:numPr>
          <w:ilvl w:val="0"/>
          <w:numId w:val="11"/>
        </w:numPr>
        <w:spacing w:after="0"/>
        <w:ind w:left="709" w:hanging="352"/>
      </w:pPr>
      <w:r w:rsidRPr="00621B83">
        <w:lastRenderedPageBreak/>
        <w:t xml:space="preserve">помощи, предоставяни на предприятия, които извършват дейност в областта на първичното производство на селскостопански продукти; </w:t>
      </w:r>
    </w:p>
    <w:p w14:paraId="1B7A7C18" w14:textId="77777777" w:rsidR="00F3429F" w:rsidRPr="00621B83" w:rsidRDefault="00F3429F" w:rsidP="00F3429F">
      <w:pPr>
        <w:numPr>
          <w:ilvl w:val="0"/>
          <w:numId w:val="11"/>
        </w:numPr>
        <w:spacing w:after="0"/>
        <w:ind w:left="709" w:hanging="352"/>
      </w:pPr>
      <w:r w:rsidRPr="00621B83">
        <w:t xml:space="preserve">помощи, предоставяни на предприятия, които извършват дейности в сектора на преработката и търговията със селскостопански продукти, в следните случаи: </w:t>
      </w:r>
    </w:p>
    <w:p w14:paraId="44F76C80" w14:textId="77777777" w:rsidR="00F3429F" w:rsidRPr="00621B83" w:rsidRDefault="00F3429F" w:rsidP="00F3429F">
      <w:pPr>
        <w:numPr>
          <w:ilvl w:val="0"/>
          <w:numId w:val="61"/>
        </w:numPr>
        <w:ind w:left="1276" w:hanging="283"/>
      </w:pPr>
      <w:r w:rsidRPr="00621B83">
        <w:t xml:space="preserve">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w:t>
      </w:r>
    </w:p>
    <w:p w14:paraId="630A44C9" w14:textId="77777777" w:rsidR="00F3429F" w:rsidRPr="00621B83" w:rsidRDefault="00F3429F" w:rsidP="00F3429F">
      <w:pPr>
        <w:numPr>
          <w:ilvl w:val="0"/>
          <w:numId w:val="61"/>
        </w:numPr>
        <w:ind w:left="1276" w:hanging="283"/>
      </w:pPr>
      <w:r w:rsidRPr="00621B83">
        <w:t>когато помощта е свързана със задължението да бъде прехвърлена частично или изцяло на първичните производители.</w:t>
      </w:r>
    </w:p>
    <w:p w14:paraId="1BFDCE81" w14:textId="77777777" w:rsidR="00F3429F" w:rsidRPr="00621B83" w:rsidRDefault="00F3429F" w:rsidP="00F3429F">
      <w:pPr>
        <w:numPr>
          <w:ilvl w:val="0"/>
          <w:numId w:val="11"/>
        </w:numPr>
        <w:spacing w:after="0"/>
        <w:ind w:left="709" w:hanging="352"/>
      </w:pPr>
      <w:r w:rsidRPr="00621B83">
        <w:t xml:space="preserve">помощи за дейности, свързани с износ за трети държави или държави-членки,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 </w:t>
      </w:r>
    </w:p>
    <w:p w14:paraId="72E7EB86" w14:textId="77777777" w:rsidR="00F3429F" w:rsidRPr="00621B83" w:rsidRDefault="00F3429F" w:rsidP="00F3429F">
      <w:pPr>
        <w:numPr>
          <w:ilvl w:val="0"/>
          <w:numId w:val="11"/>
        </w:numPr>
        <w:spacing w:after="0"/>
        <w:ind w:left="709" w:hanging="352"/>
      </w:pPr>
      <w:r w:rsidRPr="00621B83">
        <w:t xml:space="preserve">помощите, подчинени на преференциалното използване на национални продукти спрямо вносни такива. </w:t>
      </w:r>
    </w:p>
    <w:p w14:paraId="46436A84" w14:textId="77777777" w:rsidR="00F3429F" w:rsidRPr="00621B83" w:rsidRDefault="00F3429F" w:rsidP="00F3429F">
      <w:r w:rsidRPr="00621B83">
        <w:t>Когато дадено предприятие упражнява дейност в секторите, посочени по-горе, както и в един или повече от секторите или дейностите, обхванати от Регламент (ЕС) № 1407/2013, то същият се прилага спрямо помощта, предоставяна за съответните един или повече сектори или дейности, при условие че за предприятието е налице разделение на дейностите или разграничаване на разходите, по начин който гарантира, че дейностите в изключените/недопустимите сектори и дейности не се ползват от помощ „de minimis“, предоставена съгласно Регламента.</w:t>
      </w:r>
    </w:p>
    <w:p w14:paraId="235A2717" w14:textId="77777777" w:rsidR="00F3429F" w:rsidRPr="00621B83" w:rsidRDefault="00F3429F" w:rsidP="00F3429F">
      <w:r w:rsidRPr="00621B83">
        <w:t>По процедурата не се предоставя помощ на Партньор, когато отпускането й води до нарушаване на разпоредбите на Регламент (ЕС) № 1407/</w:t>
      </w:r>
      <w:r w:rsidR="004B1911" w:rsidRPr="00621B83">
        <w:t>201</w:t>
      </w:r>
      <w:r w:rsidR="004B1911" w:rsidRPr="00621B83">
        <w:rPr>
          <w:lang w:val="en-US"/>
        </w:rPr>
        <w:t>3</w:t>
      </w:r>
      <w:r w:rsidR="004B1911" w:rsidRPr="00621B83">
        <w:t xml:space="preserve"> </w:t>
      </w:r>
      <w:r w:rsidRPr="00621B83">
        <w:t xml:space="preserve">г., включително на чл. 1, букви в), г) и д) от Регламента. </w:t>
      </w:r>
      <w:r w:rsidR="007E02BE" w:rsidRPr="00621B83">
        <w:t>Помощта „de minimis“ не може да бъде използвана за придобиване на товарни автомобили.</w:t>
      </w:r>
    </w:p>
    <w:p w14:paraId="549A6EBA" w14:textId="77777777" w:rsidR="00F3429F" w:rsidRPr="00621B83" w:rsidRDefault="00F3429F" w:rsidP="00F3429F">
      <w:r w:rsidRPr="00621B83">
        <w:t xml:space="preserve">За да се удостовери, че Партньора/те осъществяват стопанската си дейност в допустимите сектори, Кандидатът следва да представи заедно с проектното предложение за всеки Партньор 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чуждестранните Партньори за последната приключила финансова година. </w:t>
      </w:r>
    </w:p>
    <w:p w14:paraId="4396B973" w14:textId="77777777" w:rsidR="00F3429F" w:rsidRPr="00621B83" w:rsidRDefault="00F3429F" w:rsidP="00F3429F">
      <w:r w:rsidRPr="00621B83">
        <w:t xml:space="preserve">Допустимостта на Партньори, които са създадени/регистрирани в рамките на текущата календарна година се удостоверява посредством декларираните данни в Декларацията за минимални и държавни помощи. </w:t>
      </w:r>
    </w:p>
    <w:p w14:paraId="08554F7E" w14:textId="77777777" w:rsidR="00F3429F" w:rsidRPr="00621B83" w:rsidRDefault="00F3429F" w:rsidP="00F3429F">
      <w:r w:rsidRPr="00621B83">
        <w:t>За определяне на допустимостта се използва класификация на икономическите дейности 2008 (КИД-2008 ) или класификацията NACE.</w:t>
      </w:r>
    </w:p>
    <w:p w14:paraId="4BD738AA" w14:textId="77777777" w:rsidR="00F3429F" w:rsidRPr="00621B83" w:rsidRDefault="00F3429F" w:rsidP="00F3429F">
      <w:r w:rsidRPr="00621B83">
        <w:t>Съгласно чл. 2, т. 2 от Регламент (ЕС) № 1407/2013 „едно и също предприятие“ означава всички предприятия, които поддържат помежду си поне един вид от следните взаимоотношения:</w:t>
      </w:r>
    </w:p>
    <w:p w14:paraId="1AA5ABD3" w14:textId="77777777" w:rsidR="00F3429F" w:rsidRPr="00621B83" w:rsidRDefault="00F3429F" w:rsidP="00F3429F">
      <w:pPr>
        <w:numPr>
          <w:ilvl w:val="0"/>
          <w:numId w:val="11"/>
        </w:numPr>
        <w:spacing w:after="0"/>
        <w:ind w:left="709" w:hanging="352"/>
      </w:pPr>
      <w:r w:rsidRPr="00621B83">
        <w:t>дадено предприятие притежава мнозинството от гласовете на акционерите или съдружниците в друго предприятие;</w:t>
      </w:r>
    </w:p>
    <w:p w14:paraId="60BD7DDD" w14:textId="77777777" w:rsidR="00F3429F" w:rsidRPr="00621B83" w:rsidRDefault="00F3429F" w:rsidP="00F3429F">
      <w:pPr>
        <w:numPr>
          <w:ilvl w:val="0"/>
          <w:numId w:val="11"/>
        </w:numPr>
        <w:spacing w:after="0"/>
        <w:ind w:left="709" w:hanging="352"/>
      </w:pPr>
      <w:r w:rsidRPr="00621B83">
        <w:lastRenderedPageBreak/>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60927AAC" w14:textId="77777777" w:rsidR="00F3429F" w:rsidRPr="00621B83" w:rsidRDefault="00F3429F" w:rsidP="00F3429F">
      <w:pPr>
        <w:numPr>
          <w:ilvl w:val="0"/>
          <w:numId w:val="11"/>
        </w:numPr>
        <w:spacing w:after="0"/>
        <w:ind w:left="709" w:hanging="352"/>
      </w:pPr>
      <w:r w:rsidRPr="00621B83">
        <w:t>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E790E32" w14:textId="77777777" w:rsidR="00F3429F" w:rsidRPr="00621B83" w:rsidRDefault="00F3429F" w:rsidP="00F3429F">
      <w:pPr>
        <w:numPr>
          <w:ilvl w:val="0"/>
          <w:numId w:val="11"/>
        </w:numPr>
        <w:spacing w:after="0"/>
        <w:ind w:left="709" w:hanging="352"/>
      </w:pPr>
      <w:r w:rsidRPr="00621B83">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35227BB7" w14:textId="77777777" w:rsidR="00F3429F" w:rsidRPr="00621B83" w:rsidRDefault="00F3429F" w:rsidP="00F3429F">
      <w:r w:rsidRPr="00621B83">
        <w:t>Предприятията, поддържащи едно от посочените взаимоотношенията, посредством едно или няколко други предприятия, също се разглеждат като едно и също предприятие.</w:t>
      </w:r>
    </w:p>
    <w:p w14:paraId="06F0F686" w14:textId="77777777" w:rsidR="00F3429F" w:rsidRPr="00621B83" w:rsidRDefault="00F3429F" w:rsidP="00F3429F">
      <w:pPr>
        <w:spacing w:after="0"/>
      </w:pPr>
      <w:r w:rsidRPr="00621B83">
        <w:t>За целите на настоящата процедура са приложими и определенията съгласно чл. 2, т. 1 от Регламент (ЕС) № 1407/2013.</w:t>
      </w:r>
    </w:p>
    <w:p w14:paraId="652E1A64" w14:textId="77777777" w:rsidR="00F3429F" w:rsidRPr="00621B83" w:rsidRDefault="00F3429F" w:rsidP="00F3429F">
      <w:pPr>
        <w:spacing w:after="0"/>
      </w:pPr>
      <w:r w:rsidRPr="00621B83">
        <w:t xml:space="preserve">Допустимият максимален размер на </w:t>
      </w:r>
      <w:r w:rsidR="00C021CC" w:rsidRPr="00621B83">
        <w:t>БФП</w:t>
      </w:r>
      <w:r w:rsidRPr="00621B83">
        <w:t xml:space="preserve"> на „едно и също предприятие“ се определя на база натрупване с други минимални помощи, получени от Партньора по проекта за последните три финансови години, като помощта с натрупване не трябва да надвишава левовата равностойност на 200 000 евро (391 166 лева), определена по фиксирания курс на Българска народна банка (1 евро = 1,95583 лева), а в случай, че Партньора осъществява дейност в отрасъл „автомобилни товарни превози“, тази сума е 100 000 евро (195 583 лева). Максималният размер на помощта за едно и също предприятие, заедно с другите получени минимални помощи, не може да надхвърля левовата равностойност на 200 000 евро (391 166 лева) за период от три финансови години (две предходни плюс текущата година).</w:t>
      </w:r>
    </w:p>
    <w:p w14:paraId="34B75282" w14:textId="77777777" w:rsidR="00F3429F" w:rsidRPr="00621B83" w:rsidRDefault="00F3429F" w:rsidP="00F3429F">
      <w:pPr>
        <w:spacing w:after="0"/>
      </w:pPr>
      <w:r w:rsidRPr="00621B83">
        <w:t>Минималната помощ се счита за получена от момента на сключване на договора за нейното предоставяне.</w:t>
      </w:r>
    </w:p>
    <w:p w14:paraId="77E51971" w14:textId="77777777" w:rsidR="00F3429F" w:rsidRPr="00621B83" w:rsidRDefault="00F3429F" w:rsidP="00F3429F">
      <w:r w:rsidRPr="00621B83">
        <w:t>Предоставената помощ по настоящата процедура може да се кумулира с помощ „de minimis“:</w:t>
      </w:r>
    </w:p>
    <w:p w14:paraId="2B0E0A8C" w14:textId="77777777" w:rsidR="00F3429F" w:rsidRPr="00621B83" w:rsidRDefault="00F3429F" w:rsidP="00F3429F">
      <w:pPr>
        <w:numPr>
          <w:ilvl w:val="0"/>
          <w:numId w:val="11"/>
        </w:numPr>
        <w:spacing w:after="0"/>
        <w:ind w:left="709" w:hanging="352"/>
      </w:pPr>
      <w:r w:rsidRPr="00621B83">
        <w:t>предоставена съгласно Регламент на Комисията (ЕС) № 360/2012 от 25 април 2012 година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(OB L 114, 26.04.2012 г.), като приложимият праг за натрупване на минималната помощ е до левовата равностойност на 500 000 евро;</w:t>
      </w:r>
    </w:p>
    <w:p w14:paraId="54B7787F" w14:textId="77777777" w:rsidR="00F3429F" w:rsidRPr="00621B83" w:rsidRDefault="00F3429F" w:rsidP="00F3429F">
      <w:pPr>
        <w:numPr>
          <w:ilvl w:val="0"/>
          <w:numId w:val="11"/>
        </w:numPr>
        <w:spacing w:after="0"/>
        <w:ind w:left="709" w:hanging="352"/>
      </w:pPr>
      <w:r w:rsidRPr="00621B83">
        <w:t>предоставена съгласно Регламент (ЕС) № 1407/2013,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по вид дейности, до съответния таван, определен в чл. 3, пар. 2 от Регламент (ЕС) № 1407/2013 на Комисията.</w:t>
      </w:r>
    </w:p>
    <w:p w14:paraId="1D967F99" w14:textId="77777777" w:rsidR="00F3429F" w:rsidRPr="00621B83" w:rsidRDefault="00F3429F" w:rsidP="00F3429F">
      <w:r w:rsidRPr="00621B83">
        <w:lastRenderedPageBreak/>
        <w:t>Помощта „de minimis“ не се кумулира с държавна помощ, предоставена във връзка със същите допустими разходи или с държавна помощ за същата мярка за финансиране на риск, ако такова кумулиране би превишило най-високия приложим интензитет на помощта или размера на помощта, определен при конкретните обстоятелства за всеки отделен случай с приети от Комисията регламент за групово освобождаване или решение. Помощта „de minimis“, която не е предоставена за конкретни допустими разходи, или не се дължи на такива, може да се кумулира с друга държавна помощ, предоставена съгласно приети от Комисията регламент за групово освобождаване или решение.</w:t>
      </w:r>
    </w:p>
    <w:p w14:paraId="31A9D3CB" w14:textId="77777777" w:rsidR="00F3429F" w:rsidRPr="00621B83" w:rsidRDefault="00F3429F" w:rsidP="00F3429F">
      <w:r w:rsidRPr="00621B83">
        <w:t>Когато с отпускането на нова помощ „de minimis“ може да бъде надвишен съответния таван, определен в чл. 3, пар. 2</w:t>
      </w:r>
      <w:r w:rsidR="00C021CC" w:rsidRPr="00621B83">
        <w:t xml:space="preserve"> </w:t>
      </w:r>
      <w:r w:rsidRPr="00621B83">
        <w:t xml:space="preserve">от Регламент (ЕС) № 1407/2013, никоя част от тази нова помощ не може да попада в приложното поле на Регламент (ЕС) № 1407/2013. </w:t>
      </w:r>
    </w:p>
    <w:p w14:paraId="5B2EE9F6" w14:textId="77777777" w:rsidR="00F3429F" w:rsidRPr="00621B83" w:rsidRDefault="00F3429F" w:rsidP="00F3429F">
      <w:r w:rsidRPr="00621B83">
        <w:t>В случай на сливания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Помощта „de minimis“, предоставена законно преди сливането или придобиването, остава правомерна.</w:t>
      </w:r>
    </w:p>
    <w:p w14:paraId="31D26CB1" w14:textId="77777777" w:rsidR="00F3429F" w:rsidRPr="00621B83" w:rsidRDefault="00F3429F" w:rsidP="00F3429F">
      <w:r w:rsidRPr="00621B83">
        <w:t>Ако дадено предприятие се разделя на две или повече отделни предприятия,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„de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70A09279" w14:textId="77777777" w:rsidR="00F3429F" w:rsidRPr="00621B83" w:rsidRDefault="00F3429F" w:rsidP="00F3429F">
      <w:r w:rsidRPr="00621B83">
        <w:t>При определяне дали са спазени максималният праг и максималният интензитет на помощта, разрешени съгласно настоящите Насоки, ще бъде взета предвид общата сума на мерките за публична подкрепа за подпомаганата дейност или проект, независимо от това дали тази подкрепа е финансирана от местни, регионални или национални източници, или източници от Европейския съюз.</w:t>
      </w:r>
    </w:p>
    <w:p w14:paraId="5B20136F" w14:textId="77777777" w:rsidR="00F3429F" w:rsidRPr="00621B83" w:rsidRDefault="00F3429F" w:rsidP="00F3429F">
      <w:r w:rsidRPr="00621B83">
        <w:t xml:space="preserve">Данните за получената минимална помощ трябва да бъдат надлежно посочени от Кандидата, като Партньора представя Декларация за минимални и държавни помощи (Приложение </w:t>
      </w:r>
      <w:r w:rsidR="003D714A" w:rsidRPr="00621B83">
        <w:rPr>
          <w:lang w:val="en-US"/>
        </w:rPr>
        <w:t>M</w:t>
      </w:r>
      <w:r w:rsidRPr="00621B83">
        <w:t xml:space="preserve">). </w:t>
      </w:r>
    </w:p>
    <w:p w14:paraId="78965D51" w14:textId="77777777" w:rsidR="00927AAA" w:rsidRPr="00621B83" w:rsidRDefault="00927AAA" w:rsidP="00F3429F">
      <w:r w:rsidRPr="00621B83">
        <w:t xml:space="preserve">Българските Партньори попълват Приложение </w:t>
      </w:r>
      <w:r w:rsidR="003D714A" w:rsidRPr="00621B83">
        <w:rPr>
          <w:lang w:val="en-US"/>
        </w:rPr>
        <w:t>M</w:t>
      </w:r>
      <w:r w:rsidRPr="00621B83">
        <w:t xml:space="preserve"> на български език, а чуждестранните Партньори на английски език.</w:t>
      </w:r>
    </w:p>
    <w:p w14:paraId="3B86DE05" w14:textId="77777777" w:rsidR="00F3429F" w:rsidRPr="00621B83" w:rsidRDefault="00F3429F" w:rsidP="00F3429F">
      <w:r w:rsidRPr="00621B83">
        <w:t xml:space="preserve">Декларацията за минимални и държавни помощи от Партньора/ите се представя от Кандидата на етап кандидатстване и впоследствие, в случай на одобрение на проектното предложение – преди сключване на договора за БФП. </w:t>
      </w:r>
    </w:p>
    <w:p w14:paraId="40002761" w14:textId="77777777" w:rsidR="00F3429F" w:rsidRPr="00621B83" w:rsidRDefault="00F3429F" w:rsidP="00F3429F">
      <w:r w:rsidRPr="00621B83">
        <w:t>Програмният оператор не носи отговорност за погрешно декларирана сума на получена минимална помощ, довела до отказ от сключване на договор</w:t>
      </w:r>
      <w:r w:rsidR="00927AAA" w:rsidRPr="00621B83">
        <w:t xml:space="preserve"> за БФП</w:t>
      </w:r>
      <w:r w:rsidRPr="00621B83">
        <w:t>.</w:t>
      </w:r>
    </w:p>
    <w:p w14:paraId="60F38B9A" w14:textId="77777777" w:rsidR="00F3429F" w:rsidRPr="00621B83" w:rsidRDefault="00F3429F" w:rsidP="00F3429F">
      <w:r w:rsidRPr="00621B83">
        <w:t>В случай че след подаване на проектното предложение настъпи промяна по отношение на получената минимална помощ, Кандидатът следва да уведоми писмено ПО в срок от 5 работни дни.</w:t>
      </w:r>
    </w:p>
    <w:p w14:paraId="7A3F8B34" w14:textId="77777777" w:rsidR="00F3429F" w:rsidRPr="00621B83" w:rsidRDefault="00F3429F" w:rsidP="00F3429F">
      <w:r w:rsidRPr="00621B83">
        <w:t>В съответствие с изискването за ненадвишаване на прага, определен в чл. 3, пар. 2</w:t>
      </w:r>
      <w:r w:rsidRPr="00716C51">
        <w:t xml:space="preserve"> </w:t>
      </w:r>
      <w:r w:rsidRPr="00621B83">
        <w:t>на Регламент (ЕС) № 1407/2013, ПО ще извършва служебна корекция в размера на БФП на всички предложени за финансиране проектни предложения на етап техническа и финансова оценка, така че да не възникне нарушаване на праговете по регламента.</w:t>
      </w:r>
    </w:p>
    <w:p w14:paraId="72CC382F" w14:textId="77777777" w:rsidR="00F3429F" w:rsidRPr="00621B83" w:rsidRDefault="00F3429F" w:rsidP="00F3429F">
      <w:r w:rsidRPr="00621B83">
        <w:lastRenderedPageBreak/>
        <w:t xml:space="preserve">Помощта „de minimis“ се счита за получена от момента на сключване </w:t>
      </w:r>
      <w:r w:rsidR="00927AAA" w:rsidRPr="00621B83">
        <w:t>н</w:t>
      </w:r>
      <w:r w:rsidRPr="00621B83">
        <w:t xml:space="preserve">а договора за БФП между ПО и Бенефициента, независимо от датата на нейното изплащане на предприятието и от датата, на която </w:t>
      </w:r>
      <w:r w:rsidR="00927AAA" w:rsidRPr="00621B83">
        <w:t xml:space="preserve">Бенефициентът </w:t>
      </w:r>
      <w:r w:rsidRPr="00621B83">
        <w:t xml:space="preserve">извършва плащането към Партньора. </w:t>
      </w:r>
    </w:p>
    <w:p w14:paraId="1F944B4D" w14:textId="77777777" w:rsidR="00F3429F" w:rsidRPr="00621B83" w:rsidRDefault="00F3429F" w:rsidP="00F3429F">
      <w:r w:rsidRPr="00621B83">
        <w:t xml:space="preserve">Помощите, които се предоставят на няколко части (т.е. когато </w:t>
      </w:r>
      <w:r w:rsidR="00927AAA" w:rsidRPr="00621B83">
        <w:t xml:space="preserve">Бенефициента </w:t>
      </w:r>
      <w:r w:rsidRPr="00621B83">
        <w:t xml:space="preserve">плаща на </w:t>
      </w:r>
      <w:r w:rsidR="00927AAA" w:rsidRPr="00621B83">
        <w:t xml:space="preserve">Партньора </w:t>
      </w:r>
      <w:r w:rsidRPr="00621B83">
        <w:t xml:space="preserve">на части),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p>
    <w:p w14:paraId="171995ED" w14:textId="77777777" w:rsidR="00F3429F" w:rsidRPr="00621B83" w:rsidRDefault="00F3429F" w:rsidP="00F3429F">
      <w:r w:rsidRPr="00621B83">
        <w:t xml:space="preserve">Сконтирането ще се извършва от </w:t>
      </w:r>
      <w:r w:rsidR="00927AAA" w:rsidRPr="00621B83">
        <w:t xml:space="preserve">Бенефициента </w:t>
      </w:r>
      <w:r w:rsidRPr="00621B83">
        <w:t xml:space="preserve">преди всяко плащане към </w:t>
      </w:r>
      <w:r w:rsidR="00927AAA" w:rsidRPr="00621B83">
        <w:t xml:space="preserve">Партньор </w:t>
      </w:r>
      <w:r w:rsidRPr="00621B83">
        <w:t>с оглед гарантиране, че предоставената БФП е съобразена с праговете за съответния вид помощ и с условията за кумулиране, установени в Регламент (ЕС) № 1407/2013 на Комисията.</w:t>
      </w:r>
    </w:p>
    <w:p w14:paraId="4B996D7A" w14:textId="77777777" w:rsidR="00F3429F" w:rsidRPr="00621B83" w:rsidRDefault="00F3429F" w:rsidP="00F3429F">
      <w:r w:rsidRPr="00621B83">
        <w:t>При установяване на неправомерно предоставена минимална помощ, Бенефициентът ще трябва да възстанови получените финансови средства заедно с дължимите лихви от датата на получаването на помощта.</w:t>
      </w:r>
    </w:p>
    <w:p w14:paraId="5809CCFE" w14:textId="77777777" w:rsidR="00F3429F" w:rsidRPr="00621B83" w:rsidRDefault="00F3429F" w:rsidP="00F3429F">
      <w:r w:rsidRPr="00621B83">
        <w:t>Съгласно чл. 37 от Закона за държавните помощи неправомерно получената минимална помощ представлява публично вземане, което се установява от ПО чрез издаване на акт за установяване на публичното вземане по реда на Административнопроцесуалния кодекс. Вземанията по издадените актове подлежат на събиране по реда на Данъчно-осигурителния процесуален кодекс от органите на Националната агенция за приходите. П</w:t>
      </w:r>
      <w:r w:rsidR="00927AAA" w:rsidRPr="00621B83">
        <w:t>рограмният оператор</w:t>
      </w:r>
      <w:r w:rsidRPr="00621B83">
        <w:t xml:space="preserve"> е длъжен в срок до </w:t>
      </w:r>
      <w:r w:rsidR="00927AAA" w:rsidRPr="00621B83">
        <w:t>3 (</w:t>
      </w:r>
      <w:r w:rsidRPr="00621B83">
        <w:t>три</w:t>
      </w:r>
      <w:r w:rsidR="00927AAA" w:rsidRPr="00621B83">
        <w:t>)</w:t>
      </w:r>
      <w:r w:rsidRPr="00621B83">
        <w:t xml:space="preserve"> работни дни от издаването на акта да информира министъра на финансите.</w:t>
      </w:r>
    </w:p>
    <w:p w14:paraId="0B0A06CA" w14:textId="77777777" w:rsidR="00F3429F" w:rsidRPr="00621B83" w:rsidRDefault="00F3429F" w:rsidP="00F3429F">
      <w:r w:rsidRPr="00621B83">
        <w:t xml:space="preserve">Бенефициентът и Партньорът са длъжни да документират и събират цялата информация относно прилагането на Регламента (ЕС) № 1407/2013.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w:t>
      </w:r>
      <w:r w:rsidR="00927AAA" w:rsidRPr="00621B83">
        <w:t xml:space="preserve">(десет) </w:t>
      </w:r>
      <w:r w:rsidRPr="00621B83">
        <w:t xml:space="preserve">бюджетни години, считано от датата на тяхното предоставяне. Документацията относно схемите за помощ „de minimis“ се съхранява за период от 10 </w:t>
      </w:r>
      <w:r w:rsidR="00927AAA" w:rsidRPr="00621B83">
        <w:t xml:space="preserve">(десет) </w:t>
      </w:r>
      <w:r w:rsidRPr="00621B83">
        <w:t>бюджетни години, считано от датата на която е предоставена последната индивидуална помощ.</w:t>
      </w:r>
    </w:p>
    <w:p w14:paraId="1AB3370C" w14:textId="77777777" w:rsidR="00F3429F" w:rsidRPr="00621B83" w:rsidRDefault="00F3429F" w:rsidP="00F3429F">
      <w:r w:rsidRPr="00621B83">
        <w:t xml:space="preserve">По писмено искане на Комисията ПО чрез Министерството на финансите предоставя в срок до 20 </w:t>
      </w:r>
      <w:r w:rsidR="00927AAA" w:rsidRPr="00621B83">
        <w:t xml:space="preserve">(двадесет) </w:t>
      </w:r>
      <w:r w:rsidRPr="00621B83">
        <w:t>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по настоящия регламент, и по-специално относно общия размер на помощта „de minimis“ по смисъла на настоящия регламент и на други регламенти за помощ „de minimis“, получена от всяко предприятие.</w:t>
      </w:r>
    </w:p>
    <w:p w14:paraId="68537BA8" w14:textId="77777777" w:rsidR="00295166" w:rsidRPr="00621B83" w:rsidRDefault="0054168A" w:rsidP="0054168A">
      <w:pPr>
        <w:pStyle w:val="Heading1"/>
      </w:pPr>
      <w:bookmarkStart w:id="46" w:name="_Toc24983855"/>
      <w:r w:rsidRPr="00621B83">
        <w:t>СРОК ЗА ИЗПЪЛНЕНИЕ НА ПРОЕКТА</w:t>
      </w:r>
      <w:bookmarkEnd w:id="46"/>
    </w:p>
    <w:p w14:paraId="65BBD3FD" w14:textId="77777777" w:rsidR="006A3C72" w:rsidRPr="00621B83" w:rsidRDefault="006A3C72" w:rsidP="006A3C72">
      <w:r w:rsidRPr="00621B83">
        <w:t xml:space="preserve">Продължителността на изпълнение на всеки проект не следва да надвишава 18 </w:t>
      </w:r>
      <w:r w:rsidR="008A232A" w:rsidRPr="00621B83">
        <w:t>(</w:t>
      </w:r>
      <w:r w:rsidRPr="00621B83">
        <w:t>осемнадесет</w:t>
      </w:r>
      <w:r w:rsidR="008A232A" w:rsidRPr="00621B83">
        <w:t>)</w:t>
      </w:r>
      <w:r w:rsidRPr="00621B83">
        <w:t xml:space="preserve"> месеца, считано от датата на влизане в сила на договора за предоставяне на </w:t>
      </w:r>
      <w:r w:rsidR="00927AAA" w:rsidRPr="00621B83">
        <w:t>БФП</w:t>
      </w:r>
      <w:r w:rsidR="007E02BE" w:rsidRPr="00621B83">
        <w:t>, но не по-късно от 30 април 2024 г</w:t>
      </w:r>
      <w:r w:rsidRPr="00621B83">
        <w:t>.</w:t>
      </w:r>
    </w:p>
    <w:p w14:paraId="71C089B1" w14:textId="77777777" w:rsidR="00785BF6" w:rsidRPr="00621B83" w:rsidRDefault="00F43BE7" w:rsidP="00A15DF7">
      <w:pPr>
        <w:pStyle w:val="Heading1"/>
      </w:pPr>
      <w:bookmarkStart w:id="47" w:name="_Toc24983856"/>
      <w:r w:rsidRPr="00621B83">
        <w:lastRenderedPageBreak/>
        <w:t>ПОДАВАНЕ НА ПРОЕКТНИ ПРЕДЛОЖЕНИЯ</w:t>
      </w:r>
      <w:bookmarkEnd w:id="47"/>
    </w:p>
    <w:p w14:paraId="026F4404" w14:textId="77777777" w:rsidR="00C130C8" w:rsidRPr="00716C51" w:rsidRDefault="007F2F8C" w:rsidP="00C021CC">
      <w:pPr>
        <w:pStyle w:val="Heading2"/>
      </w:pPr>
      <w:bookmarkStart w:id="48" w:name="_Toc24983857"/>
      <w:r w:rsidRPr="00716C51">
        <w:t>НАЧИН НА ПОДАВАНЕ</w:t>
      </w:r>
      <w:bookmarkEnd w:id="48"/>
    </w:p>
    <w:p w14:paraId="0190F28C" w14:textId="77777777" w:rsidR="008A05B0" w:rsidRPr="00621B83" w:rsidRDefault="008A05B0" w:rsidP="00C130C8">
      <w:r w:rsidRPr="00621B83">
        <w:t xml:space="preserve">Подаването на проектни предложения се извършва по изцяло електронен път чрез попълване на уеб базиран </w:t>
      </w:r>
      <w:r w:rsidR="007F2F8C" w:rsidRPr="00621B83">
        <w:t xml:space="preserve">Формуляр </w:t>
      </w:r>
      <w:r w:rsidRPr="00621B83">
        <w:t xml:space="preserve">за кандидатстване и подаване на </w:t>
      </w:r>
      <w:r w:rsidR="00B740FD" w:rsidRPr="00621B83">
        <w:t xml:space="preserve">Формуляра </w:t>
      </w:r>
      <w:r w:rsidRPr="00621B83">
        <w:t>и придружителните документи чрез Информационната система за управление и наблюдение на Структурните инструменти на ЕС в България (ИСУН 2020)</w:t>
      </w:r>
      <w:r w:rsidR="008A4352" w:rsidRPr="00621B83">
        <w:rPr>
          <w:lang w:val="en-US"/>
        </w:rPr>
        <w:t>,</w:t>
      </w:r>
      <w:r w:rsidRPr="00621B83">
        <w:t xml:space="preserve"> единствено с използването на Квалифициран електронен подпис (КЕП), чрез модула „Е-кандидатстване“ на следния интернет адрес: </w:t>
      </w:r>
      <w:hyperlink r:id="rId45" w:history="1">
        <w:r w:rsidR="00927AAA" w:rsidRPr="00621B83">
          <w:rPr>
            <w:rStyle w:val="Hyperlink"/>
          </w:rPr>
          <w:t>https://eumis2020.government.bg</w:t>
        </w:r>
      </w:hyperlink>
      <w:r w:rsidR="00927AAA" w:rsidRPr="00621B83">
        <w:t>.</w:t>
      </w:r>
    </w:p>
    <w:p w14:paraId="30B594F8" w14:textId="77777777" w:rsidR="008A05B0" w:rsidRPr="00621B83" w:rsidRDefault="008A05B0" w:rsidP="008A05B0">
      <w:r w:rsidRPr="00621B83">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4120A9BB" w14:textId="77777777" w:rsidR="008A05B0" w:rsidRPr="00621B83" w:rsidRDefault="008A05B0" w:rsidP="008A05B0">
      <w:r w:rsidRPr="00621B83">
        <w:t xml:space="preserve">Проектното предложение се изготвя от </w:t>
      </w:r>
      <w:r w:rsidR="00927AAA" w:rsidRPr="00621B83">
        <w:t xml:space="preserve">Кандидата </w:t>
      </w:r>
      <w:r w:rsidRPr="00621B83">
        <w:t xml:space="preserve">съгласно инструкциите на ПО, дадени в Указанията за електронно кандидатстване (Приложение </w:t>
      </w:r>
      <w:r w:rsidR="003D714A" w:rsidRPr="00621B83">
        <w:rPr>
          <w:lang w:val="en-US"/>
        </w:rPr>
        <w:t>B</w:t>
      </w:r>
      <w:r w:rsidRPr="00621B83">
        <w:t>).</w:t>
      </w:r>
    </w:p>
    <w:p w14:paraId="1D1C481C" w14:textId="07A08052" w:rsidR="0080251B" w:rsidRPr="00621B83" w:rsidRDefault="008A05B0" w:rsidP="008A05B0">
      <w:r w:rsidRPr="00621B83">
        <w:t xml:space="preserve">Изискващите се съгласно </w:t>
      </w:r>
      <w:r w:rsidR="00DD01A8" w:rsidRPr="00621B83">
        <w:t>настоящите н</w:t>
      </w:r>
      <w:r w:rsidR="009C753B" w:rsidRPr="00621B83">
        <w:t>асоки</w:t>
      </w:r>
      <w:r w:rsidRPr="00621B83">
        <w:t xml:space="preserve"> за кандидатстване придружителни документи към </w:t>
      </w:r>
      <w:r w:rsidR="008A4352" w:rsidRPr="00621B83">
        <w:t xml:space="preserve">Формуляра </w:t>
      </w:r>
      <w:r w:rsidRPr="00621B83">
        <w:t>за кандидатстване също се подават изцяло електронно.</w:t>
      </w:r>
      <w:r w:rsidR="003C31B6" w:rsidRPr="003C31B6">
        <w:rPr>
          <w:b/>
        </w:rPr>
        <w:t xml:space="preserve"> </w:t>
      </w:r>
      <w:r w:rsidR="003C31B6">
        <w:rPr>
          <w:b/>
        </w:rPr>
        <w:t>Всички придружителни документи, за които се изисква сканирано копие</w:t>
      </w:r>
      <w:r w:rsidR="00966493">
        <w:rPr>
          <w:b/>
          <w:lang w:val="en-US"/>
        </w:rPr>
        <w:t xml:space="preserve"> </w:t>
      </w:r>
      <w:r w:rsidR="00966493">
        <w:rPr>
          <w:b/>
        </w:rPr>
        <w:t>(с изключение на Работния проект)</w:t>
      </w:r>
      <w:r w:rsidR="003C31B6">
        <w:rPr>
          <w:b/>
        </w:rPr>
        <w:t>, се</w:t>
      </w:r>
      <w:r w:rsidR="003C31B6" w:rsidRPr="003C31B6">
        <w:rPr>
          <w:b/>
        </w:rPr>
        <w:t xml:space="preserve"> </w:t>
      </w:r>
      <w:r w:rsidR="003C31B6">
        <w:rPr>
          <w:b/>
        </w:rPr>
        <w:t>прикачва</w:t>
      </w:r>
      <w:r w:rsidR="003C31B6">
        <w:rPr>
          <w:b/>
          <w:lang w:val="en-US"/>
        </w:rPr>
        <w:t xml:space="preserve">т </w:t>
      </w:r>
      <w:r w:rsidR="001B247A">
        <w:rPr>
          <w:b/>
        </w:rPr>
        <w:t>в</w:t>
      </w:r>
      <w:r w:rsidR="003C31B6">
        <w:rPr>
          <w:b/>
        </w:rPr>
        <w:t xml:space="preserve"> ИСУН 2020 във формат </w:t>
      </w:r>
      <w:r w:rsidR="003C31B6">
        <w:rPr>
          <w:b/>
          <w:lang w:val="en-US"/>
        </w:rPr>
        <w:t>“.pdf”.</w:t>
      </w:r>
      <w:r w:rsidRPr="00621B83">
        <w:t xml:space="preserve"> Посочените документи се описват </w:t>
      </w:r>
      <w:r w:rsidR="009C753B" w:rsidRPr="00621B83">
        <w:t>във</w:t>
      </w:r>
      <w:r w:rsidRPr="00621B83">
        <w:t xml:space="preserve"> Формуляра преди подаването му.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927AAA" w:rsidRPr="00983251" w14:paraId="2A133DF7"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61071BCF" w14:textId="77777777" w:rsidR="00927AAA" w:rsidRPr="00621B83" w:rsidRDefault="00927AAA" w:rsidP="0055473A">
            <w:pPr>
              <w:rPr>
                <w:b/>
              </w:rPr>
            </w:pPr>
            <w:r w:rsidRPr="00621B83">
              <w:rPr>
                <w:b/>
              </w:rPr>
              <w:t>ВАЖНО!</w:t>
            </w:r>
          </w:p>
          <w:p w14:paraId="68C2B288" w14:textId="77777777" w:rsidR="00927AAA" w:rsidRPr="00621B83" w:rsidRDefault="00927AAA" w:rsidP="007E02BE">
            <w:pPr>
              <w:rPr>
                <w:b/>
              </w:rPr>
            </w:pPr>
            <w:r w:rsidRPr="00621B83">
              <w:rPr>
                <w:b/>
              </w:rPr>
              <w:t xml:space="preserve">Формулярът за кандидатстване и бюджетът на проекта се попълва на български и английски език, като информацията на двата езика следва да е идентична. За удостоверяване на идентичността на двата езика, Кандидатът представя декларация (Приложение </w:t>
            </w:r>
            <w:r w:rsidR="003D714A" w:rsidRPr="00621B83">
              <w:rPr>
                <w:b/>
                <w:lang w:val="en-US"/>
              </w:rPr>
              <w:t>I</w:t>
            </w:r>
            <w:r w:rsidRPr="00621B83">
              <w:rPr>
                <w:b/>
              </w:rPr>
              <w:t xml:space="preserve">). При наличие на противоречие между двете версии, с предимство се ползва информацията на </w:t>
            </w:r>
            <w:r w:rsidR="007E02BE" w:rsidRPr="00621B83">
              <w:rPr>
                <w:b/>
              </w:rPr>
              <w:t xml:space="preserve">български </w:t>
            </w:r>
            <w:r w:rsidRPr="00621B83">
              <w:rPr>
                <w:b/>
              </w:rPr>
              <w:t>език.</w:t>
            </w:r>
          </w:p>
          <w:p w14:paraId="1047FF8C" w14:textId="5409A80F" w:rsidR="007E02BE" w:rsidRPr="00621B83" w:rsidRDefault="007E02BE" w:rsidP="007E02BE">
            <w:pPr>
              <w:rPr>
                <w:b/>
              </w:rPr>
            </w:pPr>
            <w:r w:rsidRPr="00621B83">
              <w:rPr>
                <w:b/>
              </w:rPr>
              <w:t xml:space="preserve">Документите на чуждестранните </w:t>
            </w:r>
            <w:r w:rsidR="001C6BD3">
              <w:rPr>
                <w:b/>
              </w:rPr>
              <w:t>П</w:t>
            </w:r>
            <w:r w:rsidR="001C6BD3" w:rsidRPr="00621B83">
              <w:rPr>
                <w:b/>
              </w:rPr>
              <w:t xml:space="preserve">артньори </w:t>
            </w:r>
            <w:r w:rsidRPr="00621B83">
              <w:rPr>
                <w:b/>
              </w:rPr>
              <w:t xml:space="preserve">се </w:t>
            </w:r>
            <w:r w:rsidR="00150E55" w:rsidRPr="00621B83">
              <w:rPr>
                <w:b/>
              </w:rPr>
              <w:t>представят</w:t>
            </w:r>
            <w:r w:rsidRPr="00621B83">
              <w:rPr>
                <w:b/>
              </w:rPr>
              <w:t xml:space="preserve"> на английски език.</w:t>
            </w:r>
          </w:p>
          <w:p w14:paraId="3523662B" w14:textId="27746B43" w:rsidR="003C31B6" w:rsidRPr="00621B83" w:rsidRDefault="007E02BE" w:rsidP="003C31B6">
            <w:pPr>
              <w:rPr>
                <w:b/>
              </w:rPr>
            </w:pPr>
            <w:r w:rsidRPr="00621B83">
              <w:rPr>
                <w:b/>
              </w:rPr>
              <w:t>Всички останали документи се представят само на български език.</w:t>
            </w:r>
          </w:p>
        </w:tc>
      </w:tr>
    </w:tbl>
    <w:p w14:paraId="3F3CE501" w14:textId="77777777" w:rsidR="00DD01A8" w:rsidRPr="00621B83" w:rsidRDefault="00DD01A8" w:rsidP="00DD01A8">
      <w:pPr>
        <w:rPr>
          <w:b/>
        </w:rPr>
      </w:pPr>
    </w:p>
    <w:p w14:paraId="1E2A1AA7" w14:textId="77777777" w:rsidR="00FD3228" w:rsidRPr="00621B83" w:rsidRDefault="00FD3228" w:rsidP="008A05B0"/>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5623C" w:rsidRPr="00983251" w14:paraId="06E02CEF"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504D307D" w14:textId="77777777" w:rsidR="0035623C" w:rsidRPr="00621B83" w:rsidRDefault="0035623C" w:rsidP="00A15DF7">
            <w:pPr>
              <w:rPr>
                <w:b/>
              </w:rPr>
            </w:pPr>
            <w:r w:rsidRPr="00621B83">
              <w:rPr>
                <w:b/>
              </w:rPr>
              <w:t>ВАЖНО!</w:t>
            </w:r>
          </w:p>
          <w:p w14:paraId="3C4A119D" w14:textId="6336393B" w:rsidR="0035623C" w:rsidRPr="00621B83" w:rsidRDefault="00BA4A7B" w:rsidP="00A15DF7">
            <w:pPr>
              <w:rPr>
                <w:b/>
              </w:rPr>
            </w:pPr>
            <w:r w:rsidRPr="00621B83">
              <w:rPr>
                <w:b/>
              </w:rPr>
              <w:t>Проектното предложение се подава електронно чрез ИСУН 2020</w:t>
            </w:r>
            <w:r w:rsidR="001B1F85" w:rsidRPr="00621B83">
              <w:rPr>
                <w:b/>
              </w:rPr>
              <w:t>,</w:t>
            </w:r>
            <w:r w:rsidRPr="00621B83">
              <w:rPr>
                <w:b/>
              </w:rPr>
              <w:t xml:space="preserve"> като се подписва с КЕП от лице с п</w:t>
            </w:r>
            <w:r w:rsidR="00840246" w:rsidRPr="00621B83">
              <w:rPr>
                <w:b/>
              </w:rPr>
              <w:t xml:space="preserve">раво да представлява </w:t>
            </w:r>
            <w:r w:rsidR="0029348E" w:rsidRPr="00621B83">
              <w:rPr>
                <w:b/>
              </w:rPr>
              <w:t xml:space="preserve">Кандидата </w:t>
            </w:r>
            <w:r w:rsidRPr="00621B83">
              <w:rPr>
                <w:b/>
              </w:rPr>
              <w:t xml:space="preserve">или упълномощено от него лице. В случаите, когато </w:t>
            </w:r>
            <w:r w:rsidR="0029348E" w:rsidRPr="00621B83">
              <w:rPr>
                <w:b/>
              </w:rPr>
              <w:t xml:space="preserve">Кандидатът </w:t>
            </w:r>
            <w:r w:rsidRPr="00621B83">
              <w:rPr>
                <w:b/>
              </w:rPr>
              <w:t>се представлява заедно от няколко физически лица,</w:t>
            </w:r>
            <w:r w:rsidR="00840246" w:rsidRPr="00621B83">
              <w:t xml:space="preserve"> </w:t>
            </w:r>
            <w:r w:rsidR="00840246" w:rsidRPr="00621B83">
              <w:rPr>
                <w:b/>
              </w:rPr>
              <w:t xml:space="preserve">проектното предложение се подписва от всяко от тях при подаването. При упълномощаване следва да се приложи </w:t>
            </w:r>
            <w:r w:rsidR="00A9582B">
              <w:rPr>
                <w:b/>
              </w:rPr>
              <w:t>документ</w:t>
            </w:r>
            <w:r w:rsidR="00A9582B">
              <w:t xml:space="preserve"> </w:t>
            </w:r>
            <w:r w:rsidR="00A9582B" w:rsidRPr="00A9582B">
              <w:rPr>
                <w:b/>
              </w:rPr>
              <w:t>за оправомощаване за подаване на проектното предложение</w:t>
            </w:r>
            <w:r w:rsidR="00A9582B">
              <w:rPr>
                <w:b/>
              </w:rPr>
              <w:t xml:space="preserve"> с КЕП</w:t>
            </w:r>
            <w:r w:rsidR="00840246" w:rsidRPr="00621B83">
              <w:rPr>
                <w:b/>
              </w:rPr>
              <w:t xml:space="preserve">, подписан от лице с право да представлява </w:t>
            </w:r>
            <w:r w:rsidR="0029348E" w:rsidRPr="00621B83">
              <w:rPr>
                <w:b/>
              </w:rPr>
              <w:t>Кандидата</w:t>
            </w:r>
            <w:r w:rsidR="00840246" w:rsidRPr="00621B83">
              <w:rPr>
                <w:b/>
              </w:rPr>
              <w:t xml:space="preserve">. От текста на </w:t>
            </w:r>
            <w:r w:rsidR="00A9582B" w:rsidRPr="00A9582B">
              <w:rPr>
                <w:b/>
              </w:rPr>
              <w:t>документ</w:t>
            </w:r>
            <w:r w:rsidR="00A9582B">
              <w:rPr>
                <w:b/>
              </w:rPr>
              <w:t>а</w:t>
            </w:r>
            <w:r w:rsidR="00A9582B" w:rsidRPr="00A9582B">
              <w:rPr>
                <w:b/>
              </w:rPr>
              <w:t xml:space="preserve"> за оправомощаване </w:t>
            </w:r>
            <w:r w:rsidR="00840246" w:rsidRPr="00621B83">
              <w:rPr>
                <w:b/>
              </w:rPr>
              <w:t xml:space="preserve">следва да става ясно, че лицето с право да представлява </w:t>
            </w:r>
            <w:r w:rsidR="0029348E" w:rsidRPr="00621B83">
              <w:rPr>
                <w:b/>
              </w:rPr>
              <w:t xml:space="preserve">Кандидата </w:t>
            </w:r>
            <w:r w:rsidR="00840246" w:rsidRPr="00621B83">
              <w:rPr>
                <w:b/>
              </w:rPr>
              <w:t xml:space="preserve">упълномощава пълномощника да подаде от </w:t>
            </w:r>
            <w:r w:rsidR="00A9582B">
              <w:rPr>
                <w:b/>
              </w:rPr>
              <w:t>негово</w:t>
            </w:r>
            <w:r w:rsidR="00A9582B" w:rsidRPr="00621B83">
              <w:rPr>
                <w:b/>
              </w:rPr>
              <w:t xml:space="preserve"> </w:t>
            </w:r>
            <w:r w:rsidR="00840246" w:rsidRPr="00621B83">
              <w:rPr>
                <w:b/>
              </w:rPr>
              <w:t xml:space="preserve">име проектното предложение и да </w:t>
            </w:r>
            <w:r w:rsidR="0005469B" w:rsidRPr="00621B83">
              <w:rPr>
                <w:b/>
              </w:rPr>
              <w:t xml:space="preserve">го </w:t>
            </w:r>
            <w:r w:rsidR="00840246" w:rsidRPr="00621B83">
              <w:rPr>
                <w:b/>
              </w:rPr>
              <w:t>подпише с КЕП.</w:t>
            </w:r>
          </w:p>
          <w:p w14:paraId="00928496" w14:textId="77777777" w:rsidR="00840246" w:rsidRPr="00621B83" w:rsidRDefault="002A38A9" w:rsidP="00840246">
            <w:pPr>
              <w:rPr>
                <w:b/>
              </w:rPr>
            </w:pPr>
            <w:r w:rsidRPr="00621B83">
              <w:rPr>
                <w:b/>
              </w:rPr>
              <w:lastRenderedPageBreak/>
              <w:t>Проектно</w:t>
            </w:r>
            <w:r w:rsidR="00547848" w:rsidRPr="00621B83">
              <w:rPr>
                <w:b/>
              </w:rPr>
              <w:t>т</w:t>
            </w:r>
            <w:r w:rsidR="00653126" w:rsidRPr="00621B83">
              <w:rPr>
                <w:b/>
                <w:lang w:val="en-US"/>
              </w:rPr>
              <w:t>o</w:t>
            </w:r>
            <w:r w:rsidRPr="00621B83">
              <w:rPr>
                <w:b/>
              </w:rPr>
              <w:t xml:space="preserve"> </w:t>
            </w:r>
            <w:r w:rsidR="00840246" w:rsidRPr="00621B83">
              <w:rPr>
                <w:b/>
              </w:rPr>
              <w:t xml:space="preserve">предложение се подава винаги от профила на </w:t>
            </w:r>
            <w:r w:rsidR="00653126" w:rsidRPr="00621B83">
              <w:rPr>
                <w:b/>
                <w:lang w:val="en-US"/>
              </w:rPr>
              <w:t>K</w:t>
            </w:r>
            <w:r w:rsidR="00653126" w:rsidRPr="00621B83">
              <w:rPr>
                <w:b/>
              </w:rPr>
              <w:t>андидата</w:t>
            </w:r>
            <w:r w:rsidR="00840246" w:rsidRPr="00621B83">
              <w:rPr>
                <w:b/>
              </w:rPr>
              <w:t xml:space="preserve">, не от друг профил, тъй като впоследствие ще бъде използван именно този профил за комуникация с </w:t>
            </w:r>
            <w:r w:rsidRPr="00621B83">
              <w:rPr>
                <w:b/>
              </w:rPr>
              <w:t>ПО</w:t>
            </w:r>
            <w:r w:rsidR="00840246" w:rsidRPr="00621B83">
              <w:rPr>
                <w:b/>
              </w:rPr>
              <w:t xml:space="preserve">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w:t>
            </w:r>
            <w:r w:rsidR="00653126" w:rsidRPr="00621B83">
              <w:rPr>
                <w:b/>
                <w:lang w:val="en-US"/>
              </w:rPr>
              <w:t>K</w:t>
            </w:r>
            <w:r w:rsidR="00653126" w:rsidRPr="00621B83">
              <w:rPr>
                <w:b/>
              </w:rPr>
              <w:t xml:space="preserve">андидата </w:t>
            </w:r>
            <w:r w:rsidR="00840246" w:rsidRPr="00621B83">
              <w:rPr>
                <w:b/>
              </w:rPr>
              <w:t xml:space="preserve">и редакцията на забелязани неточности по подаденото проектно предложение ще се извършват електронно чрез профила на </w:t>
            </w:r>
            <w:r w:rsidR="007E72CA" w:rsidRPr="00621B83">
              <w:rPr>
                <w:b/>
                <w:lang w:val="en-US"/>
              </w:rPr>
              <w:t>K</w:t>
            </w:r>
            <w:r w:rsidR="007E72CA" w:rsidRPr="00621B83">
              <w:rPr>
                <w:b/>
              </w:rPr>
              <w:t xml:space="preserve">андидата </w:t>
            </w:r>
            <w:r w:rsidR="00840246" w:rsidRPr="00621B83">
              <w:rPr>
                <w:b/>
              </w:rPr>
              <w:t>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0FF52C16" w14:textId="77777777" w:rsidR="00840246" w:rsidRPr="00621B83" w:rsidRDefault="00840246" w:rsidP="00840246">
            <w:pPr>
              <w:rPr>
                <w:b/>
              </w:rPr>
            </w:pPr>
            <w:r w:rsidRPr="00621B83">
              <w:rPr>
                <w:b/>
              </w:rPr>
              <w:t xml:space="preserve">До приключването на работата на оценителната комисия </w:t>
            </w:r>
            <w:r w:rsidR="007E72CA" w:rsidRPr="00621B83">
              <w:rPr>
                <w:b/>
                <w:lang w:val="en-US"/>
              </w:rPr>
              <w:t>K</w:t>
            </w:r>
            <w:r w:rsidR="007E72CA" w:rsidRPr="00621B83">
              <w:rPr>
                <w:b/>
              </w:rPr>
              <w:t xml:space="preserve">андидатът </w:t>
            </w:r>
            <w:r w:rsidRPr="00621B83">
              <w:rPr>
                <w:b/>
              </w:rPr>
              <w:t xml:space="preserve">има възможност да оттегли своето проектно предложение като подаде писмено искане </w:t>
            </w:r>
            <w:r w:rsidR="00927AAA" w:rsidRPr="00621B83">
              <w:rPr>
                <w:b/>
              </w:rPr>
              <w:t xml:space="preserve">до </w:t>
            </w:r>
            <w:r w:rsidR="002A38A9" w:rsidRPr="00621B83">
              <w:rPr>
                <w:b/>
              </w:rPr>
              <w:t>П</w:t>
            </w:r>
            <w:r w:rsidRPr="00621B83">
              <w:rPr>
                <w:b/>
              </w:rPr>
              <w:t xml:space="preserve">О, като това обстоятелство се отбелязва от потребител на ИСУН от </w:t>
            </w:r>
            <w:r w:rsidR="00451A39" w:rsidRPr="00621B83">
              <w:rPr>
                <w:b/>
              </w:rPr>
              <w:t>П</w:t>
            </w:r>
            <w:r w:rsidRPr="00621B83">
              <w:rPr>
                <w:b/>
              </w:rPr>
              <w:t>О със съответните права.</w:t>
            </w:r>
          </w:p>
          <w:p w14:paraId="2E8A3356" w14:textId="323E7ABB" w:rsidR="00F7718F" w:rsidRPr="00621B83" w:rsidRDefault="002A38A9" w:rsidP="009707D7">
            <w:pPr>
              <w:rPr>
                <w:b/>
              </w:rPr>
            </w:pPr>
            <w:r w:rsidRPr="00621B83">
              <w:rPr>
                <w:b/>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tc>
      </w:tr>
    </w:tbl>
    <w:p w14:paraId="61287343" w14:textId="77777777" w:rsidR="0005245E" w:rsidRPr="00621B83" w:rsidRDefault="0005245E" w:rsidP="00621B83">
      <w:pPr>
        <w:spacing w:after="160" w:line="259" w:lineRule="auto"/>
        <w:rPr>
          <w:rFonts w:eastAsia="Calibri"/>
        </w:rPr>
      </w:pPr>
    </w:p>
    <w:p w14:paraId="67DAB225" w14:textId="77777777" w:rsidR="002611F8" w:rsidRPr="00716C51" w:rsidRDefault="007E72CA" w:rsidP="00C021CC">
      <w:pPr>
        <w:pStyle w:val="Heading2"/>
      </w:pPr>
      <w:bookmarkStart w:id="49" w:name="_Toc24983858"/>
      <w:r w:rsidRPr="00716C51">
        <w:t>СПИСЪК НА ДОКУМЕНТИТЕ, КОИТО СЕ ПОДАВАТ НА ЕТАП КАНДИДАТСТВАНЕ</w:t>
      </w:r>
      <w:bookmarkEnd w:id="49"/>
    </w:p>
    <w:p w14:paraId="4BF1295B" w14:textId="77777777" w:rsidR="00D34DE6" w:rsidRPr="00621B83" w:rsidRDefault="00D34DE6" w:rsidP="00D34DE6">
      <w:r w:rsidRPr="00621B83">
        <w:t xml:space="preserve">Кандидатите по процедурата за </w:t>
      </w:r>
      <w:r w:rsidR="00344E15" w:rsidRPr="00621B83">
        <w:t>БФП</w:t>
      </w:r>
      <w:r w:rsidRPr="00621B83">
        <w:t xml:space="preserve"> следва да представят към Формуляра за кандидатстване по изцяло електронен път чрез ИСУН 2020 следните документи:</w:t>
      </w:r>
    </w:p>
    <w:p w14:paraId="7DCC61D2" w14:textId="77777777" w:rsidR="00963B9D" w:rsidRPr="00621B83" w:rsidRDefault="00963B9D" w:rsidP="00BC0786">
      <w:pPr>
        <w:numPr>
          <w:ilvl w:val="0"/>
          <w:numId w:val="32"/>
        </w:numPr>
        <w:ind w:left="714" w:hanging="357"/>
        <w:rPr>
          <w:rFonts w:eastAsia="Calibri"/>
        </w:rPr>
      </w:pPr>
      <w:r w:rsidRPr="00621B83">
        <w:rPr>
          <w:rFonts w:eastAsia="Calibri"/>
        </w:rPr>
        <w:t>Документ за оправомощаване за подаване на проектното предложение с КЕП (в случай, че е приложимо) - подписан, датиран, сканиран и прикачен в ИСУН 2020;</w:t>
      </w:r>
    </w:p>
    <w:p w14:paraId="24D1A65C" w14:textId="77777777" w:rsidR="00846CA5" w:rsidRPr="00621B83" w:rsidRDefault="005558C1" w:rsidP="00BC0786">
      <w:pPr>
        <w:numPr>
          <w:ilvl w:val="0"/>
          <w:numId w:val="32"/>
        </w:numPr>
        <w:ind w:left="714" w:hanging="357"/>
        <w:rPr>
          <w:rFonts w:eastAsia="Calibri"/>
        </w:rPr>
      </w:pPr>
      <w:r w:rsidRPr="00621B83">
        <w:rPr>
          <w:rFonts w:eastAsia="Calibri"/>
        </w:rPr>
        <w:t xml:space="preserve">Декларация, че </w:t>
      </w:r>
      <w:r w:rsidR="00344E15" w:rsidRPr="00621B83">
        <w:rPr>
          <w:rFonts w:eastAsia="Calibri"/>
        </w:rPr>
        <w:t xml:space="preserve">Кандидатът </w:t>
      </w:r>
      <w:r w:rsidRPr="00621B83">
        <w:rPr>
          <w:rFonts w:eastAsia="Calibri"/>
        </w:rPr>
        <w:t>е запознат с условията за кандидатстване</w:t>
      </w:r>
      <w:r w:rsidR="00195158" w:rsidRPr="00621B83">
        <w:rPr>
          <w:rFonts w:eastAsia="Calibri"/>
        </w:rPr>
        <w:t xml:space="preserve">, че </w:t>
      </w:r>
      <w:r w:rsidR="00195158" w:rsidRPr="00621B83">
        <w:t>ще бъде пряко отговорен за управлението и изпълнението на дейностите по проекта, за удостоверяване на идентичността на двата езика и за участие на консултанти при подготовката на проектното предложение</w:t>
      </w:r>
      <w:r w:rsidRPr="00621B83">
        <w:rPr>
          <w:rFonts w:eastAsia="Calibri"/>
        </w:rPr>
        <w:t xml:space="preserve"> – попълнена по образец (Приложение </w:t>
      </w:r>
      <w:r w:rsidR="00C731B9" w:rsidRPr="00621B83">
        <w:rPr>
          <w:rFonts w:eastAsia="Calibri"/>
          <w:lang w:val="en-US"/>
        </w:rPr>
        <w:t>I</w:t>
      </w:r>
      <w:r w:rsidRPr="00621B83">
        <w:rPr>
          <w:rFonts w:eastAsia="Calibri"/>
        </w:rPr>
        <w:t xml:space="preserve">) – </w:t>
      </w:r>
      <w:r w:rsidR="00381702" w:rsidRPr="00621B83">
        <w:rPr>
          <w:rFonts w:eastAsia="Calibri"/>
        </w:rPr>
        <w:t>подписана, датирана, сканирана и прикачена в ИСУН 2020</w:t>
      </w:r>
      <w:r w:rsidRPr="00621B83">
        <w:rPr>
          <w:rFonts w:eastAsia="Calibri"/>
        </w:rPr>
        <w:t>;</w:t>
      </w:r>
    </w:p>
    <w:p w14:paraId="19E7CEA6" w14:textId="77777777" w:rsidR="00846CA5" w:rsidRPr="00621B83" w:rsidRDefault="00846CA5" w:rsidP="00846CA5">
      <w:pPr>
        <w:numPr>
          <w:ilvl w:val="0"/>
          <w:numId w:val="32"/>
        </w:numPr>
      </w:pPr>
      <w:r w:rsidRPr="00621B83">
        <w:rPr>
          <w:rFonts w:eastAsia="Calibri"/>
        </w:rPr>
        <w:t>Р</w:t>
      </w:r>
      <w:r w:rsidRPr="00621B83">
        <w:t>ешение на Общинския съвет за съгласие общината да кандидатства по настоящата процедура</w:t>
      </w:r>
      <w:r w:rsidR="00C1776B" w:rsidRPr="00621B83">
        <w:t xml:space="preserve"> и ако е приложимо – за даване на съгласие за общинско сътрудничество с Партньора/и</w:t>
      </w:r>
      <w:r w:rsidRPr="00621B83">
        <w:rPr>
          <w:rFonts w:eastAsia="Calibri"/>
        </w:rPr>
        <w:t xml:space="preserve"> - </w:t>
      </w:r>
      <w:r w:rsidR="00362C71" w:rsidRPr="00621B83">
        <w:t>копие, сканирано и прикачено в ИСУН 2020</w:t>
      </w:r>
      <w:r w:rsidRPr="00621B83">
        <w:rPr>
          <w:rFonts w:eastAsia="Calibri"/>
        </w:rPr>
        <w:t>;</w:t>
      </w:r>
    </w:p>
    <w:p w14:paraId="6CEF64C2" w14:textId="77777777" w:rsidR="00846CA5" w:rsidRPr="00621B83" w:rsidRDefault="00205435" w:rsidP="00846CA5">
      <w:pPr>
        <w:numPr>
          <w:ilvl w:val="0"/>
          <w:numId w:val="32"/>
        </w:numPr>
      </w:pPr>
      <w:r w:rsidRPr="00621B83">
        <w:t>Д</w:t>
      </w:r>
      <w:r w:rsidR="00846CA5" w:rsidRPr="00621B83">
        <w:t xml:space="preserve">окумент, от който да е видно, че </w:t>
      </w:r>
      <w:r w:rsidR="00344E15" w:rsidRPr="00621B83">
        <w:t xml:space="preserve">Кандидатът </w:t>
      </w:r>
      <w:r w:rsidR="00846CA5" w:rsidRPr="00621B83">
        <w:t xml:space="preserve">е собственик на системата/ите </w:t>
      </w:r>
      <w:r w:rsidRPr="00621B83">
        <w:t>за външно изкуствено осветление -</w:t>
      </w:r>
      <w:r w:rsidRPr="00621B83">
        <w:rPr>
          <w:rFonts w:eastAsia="Calibri"/>
        </w:rPr>
        <w:t xml:space="preserve"> </w:t>
      </w:r>
      <w:r w:rsidR="00DD562B" w:rsidRPr="00621B83">
        <w:t>копие, сканирано и прикачено в ИСУН 2020</w:t>
      </w:r>
      <w:r w:rsidRPr="00621B83">
        <w:rPr>
          <w:rFonts w:eastAsia="Calibri"/>
        </w:rPr>
        <w:t>;</w:t>
      </w:r>
    </w:p>
    <w:p w14:paraId="36F957FE" w14:textId="77777777" w:rsidR="002E39B9" w:rsidRPr="00621B83" w:rsidRDefault="00205435" w:rsidP="00846CA5">
      <w:pPr>
        <w:numPr>
          <w:ilvl w:val="0"/>
          <w:numId w:val="32"/>
        </w:numPr>
      </w:pPr>
      <w:r w:rsidRPr="00621B83">
        <w:t>Д</w:t>
      </w:r>
      <w:r w:rsidR="00846CA5" w:rsidRPr="00621B83">
        <w:t>окумент, от който да е видно, че системата</w:t>
      </w:r>
      <w:r w:rsidR="00195158" w:rsidRPr="00621B83">
        <w:t>/ите</w:t>
      </w:r>
      <w:r w:rsidR="00846CA5" w:rsidRPr="00621B83">
        <w:t xml:space="preserve"> за външно изкуствено осветление е в имот</w:t>
      </w:r>
      <w:r w:rsidR="009151F1" w:rsidRPr="00621B83">
        <w:t>/и</w:t>
      </w:r>
      <w:r w:rsidR="00846CA5" w:rsidRPr="00621B83">
        <w:t xml:space="preserve"> - публична общинска собственост</w:t>
      </w:r>
      <w:r w:rsidR="002E39B9" w:rsidRPr="00621B83">
        <w:t>:</w:t>
      </w:r>
    </w:p>
    <w:p w14:paraId="16B18C4F" w14:textId="77777777" w:rsidR="002E39B9" w:rsidRPr="00621B83" w:rsidRDefault="00DD562B" w:rsidP="00C675C9">
      <w:pPr>
        <w:ind w:left="708"/>
      </w:pPr>
      <w:r w:rsidRPr="00621B83">
        <w:t>5</w:t>
      </w:r>
      <w:r w:rsidR="002E39B9" w:rsidRPr="00621B83">
        <w:t>.1</w:t>
      </w:r>
      <w:r w:rsidRPr="00621B83">
        <w:t>.</w:t>
      </w:r>
      <w:r w:rsidR="002E39B9" w:rsidRPr="00621B83">
        <w:t xml:space="preserve"> А</w:t>
      </w:r>
      <w:r w:rsidR="00846CA5" w:rsidRPr="00621B83">
        <w:t xml:space="preserve">кт за общинска собственост </w:t>
      </w:r>
      <w:r w:rsidRPr="00621B83">
        <w:t xml:space="preserve">- заверено с подпис и печат копие, сканирано и прикачено в ИСУН 2020, </w:t>
      </w:r>
      <w:r w:rsidR="002E39B9" w:rsidRPr="00621B83">
        <w:t>или</w:t>
      </w:r>
    </w:p>
    <w:p w14:paraId="34606ECB" w14:textId="77777777" w:rsidR="00846CA5" w:rsidRPr="00621B83" w:rsidRDefault="00DD562B" w:rsidP="00C675C9">
      <w:pPr>
        <w:ind w:left="708"/>
      </w:pPr>
      <w:r w:rsidRPr="00621B83">
        <w:t>5</w:t>
      </w:r>
      <w:r w:rsidR="002E39B9" w:rsidRPr="00621B83">
        <w:t>.2. Д</w:t>
      </w:r>
      <w:r w:rsidR="00846CA5" w:rsidRPr="00621B83">
        <w:t>екларация</w:t>
      </w:r>
      <w:r w:rsidR="00BE2A75" w:rsidRPr="00621B83">
        <w:t>,</w:t>
      </w:r>
      <w:r w:rsidR="00161C6D" w:rsidRPr="00621B83">
        <w:t xml:space="preserve"> </w:t>
      </w:r>
      <w:r w:rsidR="00BE2A75" w:rsidRPr="00621B83">
        <w:t xml:space="preserve">че системата за външно изкуствено осветление е в имот/и - публична общинска собственост </w:t>
      </w:r>
      <w:r w:rsidR="00161C6D" w:rsidRPr="00621B83">
        <w:t>(свободен текст)</w:t>
      </w:r>
      <w:r w:rsidR="006A7406" w:rsidRPr="00621B83">
        <w:t xml:space="preserve"> - </w:t>
      </w:r>
      <w:r w:rsidR="00161C6D" w:rsidRPr="00621B83">
        <w:rPr>
          <w:rFonts w:eastAsia="Calibri"/>
        </w:rPr>
        <w:t>подписана, датирана, сканирана и прикачена в ИСУН 2020</w:t>
      </w:r>
      <w:r w:rsidR="00846CA5" w:rsidRPr="00621B83">
        <w:t>;</w:t>
      </w:r>
    </w:p>
    <w:p w14:paraId="72872F25" w14:textId="77777777" w:rsidR="00846CA5" w:rsidRPr="00621B83" w:rsidRDefault="00381702" w:rsidP="00846CA5">
      <w:pPr>
        <w:numPr>
          <w:ilvl w:val="0"/>
          <w:numId w:val="32"/>
        </w:numPr>
      </w:pPr>
      <w:r w:rsidRPr="00621B83">
        <w:t xml:space="preserve">Декларация </w:t>
      </w:r>
      <w:r w:rsidR="00846CA5" w:rsidRPr="00621B83">
        <w:t xml:space="preserve">за липса на основания за недопустимост </w:t>
      </w:r>
      <w:r w:rsidR="00915DB7" w:rsidRPr="00621B83">
        <w:t xml:space="preserve">по т. </w:t>
      </w:r>
      <w:r w:rsidR="008C06FF" w:rsidRPr="00621B83">
        <w:t xml:space="preserve">8.2 </w:t>
      </w:r>
      <w:r w:rsidR="00846CA5" w:rsidRPr="00621B83">
        <w:t xml:space="preserve">от </w:t>
      </w:r>
      <w:r w:rsidRPr="00621B83">
        <w:t xml:space="preserve">законния представител на </w:t>
      </w:r>
      <w:r w:rsidR="005E3CA6" w:rsidRPr="00621B83">
        <w:t xml:space="preserve">Кандидата </w:t>
      </w:r>
      <w:r w:rsidR="00E00C83" w:rsidRPr="00621B83">
        <w:rPr>
          <w:rFonts w:eastAsia="Calibri"/>
        </w:rPr>
        <w:t xml:space="preserve">(Приложение </w:t>
      </w:r>
      <w:r w:rsidR="00C731B9" w:rsidRPr="00621B83">
        <w:rPr>
          <w:rFonts w:eastAsia="Calibri"/>
          <w:lang w:val="en-US"/>
        </w:rPr>
        <w:t>K</w:t>
      </w:r>
      <w:r w:rsidR="00E00C83" w:rsidRPr="00621B83">
        <w:rPr>
          <w:rFonts w:eastAsia="Calibri"/>
        </w:rPr>
        <w:t xml:space="preserve">) </w:t>
      </w:r>
      <w:r w:rsidR="00C947B8" w:rsidRPr="00621B83">
        <w:rPr>
          <w:rFonts w:eastAsia="Calibri"/>
        </w:rPr>
        <w:t xml:space="preserve">– </w:t>
      </w:r>
      <w:r w:rsidR="00161C6D" w:rsidRPr="00621B83">
        <w:rPr>
          <w:rFonts w:eastAsia="Calibri"/>
        </w:rPr>
        <w:t>подписана, датирана, сканирана и прикачена в ИСУН 2020</w:t>
      </w:r>
      <w:r w:rsidR="008C06FF" w:rsidRPr="00621B83">
        <w:t>;</w:t>
      </w:r>
    </w:p>
    <w:p w14:paraId="472890A2" w14:textId="77777777" w:rsidR="00846CA5" w:rsidRPr="00621B83" w:rsidRDefault="00D94DDF" w:rsidP="00621B83">
      <w:pPr>
        <w:numPr>
          <w:ilvl w:val="0"/>
          <w:numId w:val="32"/>
        </w:numPr>
        <w:spacing w:after="160"/>
        <w:rPr>
          <w:rFonts w:eastAsia="Calibri"/>
        </w:rPr>
      </w:pPr>
      <w:r w:rsidRPr="00621B83">
        <w:rPr>
          <w:rFonts w:eastAsia="Calibri"/>
        </w:rPr>
        <w:lastRenderedPageBreak/>
        <w:t xml:space="preserve">Проект на Споразумение </w:t>
      </w:r>
      <w:r w:rsidR="00835D07" w:rsidRPr="00621B83">
        <w:rPr>
          <w:rFonts w:eastAsia="Calibri"/>
        </w:rPr>
        <w:t xml:space="preserve">за партньорство </w:t>
      </w:r>
      <w:r w:rsidRPr="00621B83">
        <w:rPr>
          <w:rFonts w:eastAsia="Calibri"/>
        </w:rPr>
        <w:t xml:space="preserve">(Приложение </w:t>
      </w:r>
      <w:r w:rsidR="00C731B9" w:rsidRPr="00621B83">
        <w:rPr>
          <w:rFonts w:eastAsia="Calibri"/>
          <w:lang w:val="en-US"/>
        </w:rPr>
        <w:t>O</w:t>
      </w:r>
      <w:r w:rsidRPr="00621B83">
        <w:rPr>
          <w:rFonts w:eastAsia="Calibri"/>
        </w:rPr>
        <w:t xml:space="preserve">) /Писмо за намерение за партньорство - </w:t>
      </w:r>
      <w:r w:rsidR="00835D07" w:rsidRPr="00621B83">
        <w:t>копие, сканирано и прикачено в ИСУН 2020</w:t>
      </w:r>
      <w:r w:rsidRPr="00621B83">
        <w:rPr>
          <w:rFonts w:eastAsia="Calibri"/>
        </w:rPr>
        <w:t>;</w:t>
      </w:r>
    </w:p>
    <w:p w14:paraId="7A4169CB" w14:textId="21F730CD" w:rsidR="00937CA9" w:rsidRPr="00621B83" w:rsidRDefault="00937CA9" w:rsidP="003267C3">
      <w:pPr>
        <w:numPr>
          <w:ilvl w:val="0"/>
          <w:numId w:val="32"/>
        </w:numPr>
      </w:pPr>
      <w:r w:rsidRPr="00621B83">
        <w:t>Доклад</w:t>
      </w:r>
      <w:r w:rsidR="003267C3" w:rsidRPr="00621B83">
        <w:t>/и</w:t>
      </w:r>
      <w:r w:rsidRPr="00621B83">
        <w:t xml:space="preserve"> от обследване за енергийна ефективност на системата</w:t>
      </w:r>
      <w:r w:rsidR="003267C3" w:rsidRPr="00621B83">
        <w:t>/ите</w:t>
      </w:r>
      <w:r w:rsidRPr="00621B83">
        <w:t xml:space="preserve"> за външно изкуствено осветление</w:t>
      </w:r>
      <w:r w:rsidR="003267C3" w:rsidRPr="00621B83">
        <w:rPr>
          <w:rFonts w:eastAsia="Calibri"/>
        </w:rPr>
        <w:t xml:space="preserve"> - </w:t>
      </w:r>
      <w:r w:rsidR="00A031D8" w:rsidRPr="00A031D8">
        <w:t>подписан/и с КЕП от представител на АУЕР,</w:t>
      </w:r>
      <w:r w:rsidR="00A031D8" w:rsidRPr="00A031D8" w:rsidDel="0037029A">
        <w:t xml:space="preserve"> </w:t>
      </w:r>
      <w:r w:rsidR="00A031D8" w:rsidRPr="00A031D8">
        <w:t>прикачен/и</w:t>
      </w:r>
      <w:r w:rsidR="00A031D8">
        <w:t xml:space="preserve"> </w:t>
      </w:r>
      <w:r w:rsidR="00835D07" w:rsidRPr="00621B83">
        <w:t>в ИСУН 2020</w:t>
      </w:r>
      <w:r w:rsidRPr="00621B83">
        <w:t>;</w:t>
      </w:r>
    </w:p>
    <w:p w14:paraId="3A8493DF" w14:textId="4A52D996" w:rsidR="00932A2D" w:rsidRPr="00621B83" w:rsidRDefault="00932A2D" w:rsidP="003267C3">
      <w:pPr>
        <w:numPr>
          <w:ilvl w:val="0"/>
          <w:numId w:val="32"/>
        </w:numPr>
      </w:pPr>
      <w:r w:rsidRPr="00621B83">
        <w:t xml:space="preserve">Становище за съответствие с вписано одобрение на Доклада/ите от обследване за енергийна ефективност от АУЕР </w:t>
      </w:r>
      <w:r w:rsidRPr="00621B83">
        <w:rPr>
          <w:rFonts w:eastAsia="Calibri"/>
        </w:rPr>
        <w:t xml:space="preserve">- </w:t>
      </w:r>
      <w:r w:rsidRPr="00621B83">
        <w:t>заверено с подпис и печат копие, сканирано и прикачено в ИСУН 2020</w:t>
      </w:r>
      <w:r w:rsidR="001C6BD3">
        <w:t>;</w:t>
      </w:r>
    </w:p>
    <w:p w14:paraId="0B29A70F" w14:textId="77777777" w:rsidR="00937CA9" w:rsidRPr="00621B83" w:rsidRDefault="00444962" w:rsidP="00621B83">
      <w:pPr>
        <w:numPr>
          <w:ilvl w:val="0"/>
          <w:numId w:val="32"/>
        </w:numPr>
        <w:spacing w:after="160"/>
        <w:rPr>
          <w:rFonts w:eastAsia="Calibri"/>
        </w:rPr>
      </w:pPr>
      <w:r w:rsidRPr="00621B83">
        <w:t>Р</w:t>
      </w:r>
      <w:r w:rsidR="00937CA9" w:rsidRPr="00621B83">
        <w:t>аботен проект</w:t>
      </w:r>
      <w:r w:rsidR="003267C3" w:rsidRPr="00621B83">
        <w:t xml:space="preserve"> </w:t>
      </w:r>
      <w:r w:rsidR="003267C3" w:rsidRPr="00621B83">
        <w:rPr>
          <w:rFonts w:eastAsia="Calibri"/>
        </w:rPr>
        <w:t xml:space="preserve">- </w:t>
      </w:r>
      <w:r w:rsidR="00835D07" w:rsidRPr="00621B83">
        <w:t>заверен с подпис и печат копие, сканиран и прикачен в ИСУН 2020</w:t>
      </w:r>
      <w:r w:rsidR="003A4AFB" w:rsidRPr="00621B83">
        <w:t xml:space="preserve"> </w:t>
      </w:r>
      <w:r w:rsidR="00E80653" w:rsidRPr="00621B83">
        <w:t>(при кандидатстване по Вариант 1)</w:t>
      </w:r>
      <w:r w:rsidR="00835D07" w:rsidRPr="00621B83">
        <w:t>;</w:t>
      </w:r>
    </w:p>
    <w:p w14:paraId="57FAA425" w14:textId="77777777" w:rsidR="00BE2A75" w:rsidRPr="00621B83" w:rsidRDefault="00BE2A75" w:rsidP="006172A9">
      <w:pPr>
        <w:numPr>
          <w:ilvl w:val="0"/>
          <w:numId w:val="32"/>
        </w:numPr>
      </w:pPr>
      <w:r w:rsidRPr="00621B83">
        <w:t>Фактури за закупена електрическа енергия и съпътстващи услуги, използвани</w:t>
      </w:r>
      <w:r w:rsidR="005F5890" w:rsidRPr="00621B83">
        <w:t xml:space="preserve"> като </w:t>
      </w:r>
      <w:r w:rsidR="008A11CA" w:rsidRPr="00621B83">
        <w:t>придружителна информация</w:t>
      </w:r>
      <w:r w:rsidRPr="00621B83">
        <w:t xml:space="preserve"> при извършването на обследване за енергийна ефективност на системата/ите за външно изкуствено осветление - копие, сканирано и прикачено в ИСУН 2020</w:t>
      </w:r>
      <w:r w:rsidR="00B12E70" w:rsidRPr="00621B83">
        <w:t>;</w:t>
      </w:r>
    </w:p>
    <w:p w14:paraId="4577F409" w14:textId="77777777" w:rsidR="00362C71" w:rsidRPr="00621B83" w:rsidRDefault="00362C71" w:rsidP="006172A9">
      <w:pPr>
        <w:numPr>
          <w:ilvl w:val="0"/>
          <w:numId w:val="32"/>
        </w:numPr>
      </w:pPr>
      <w:r w:rsidRPr="00621B83">
        <w:t xml:space="preserve">Декларация относно статута по ЗДДС - попълнена по образец (Приложение </w:t>
      </w:r>
      <w:r w:rsidR="00C731B9" w:rsidRPr="00621B83">
        <w:rPr>
          <w:lang w:val="en-US"/>
        </w:rPr>
        <w:t>J</w:t>
      </w:r>
      <w:r w:rsidRPr="00621B83">
        <w:t>) – подписана, датирана, сканирана и прикачена в ИСУН 2020;</w:t>
      </w:r>
    </w:p>
    <w:p w14:paraId="25D9D9E2" w14:textId="77777777" w:rsidR="00F45E33" w:rsidRPr="00621B83" w:rsidRDefault="00F45E33" w:rsidP="000B2A16">
      <w:pPr>
        <w:numPr>
          <w:ilvl w:val="0"/>
          <w:numId w:val="32"/>
        </w:numPr>
      </w:pPr>
      <w:r w:rsidRPr="00621B83">
        <w:t>Декларация за наличие/липса на двойно финансиране</w:t>
      </w:r>
      <w:r w:rsidR="000B2A16" w:rsidRPr="00621B83">
        <w:t xml:space="preserve"> (Приложение </w:t>
      </w:r>
      <w:r w:rsidR="00C731B9" w:rsidRPr="00621B83">
        <w:rPr>
          <w:lang w:val="en-US"/>
        </w:rPr>
        <w:t>N</w:t>
      </w:r>
      <w:r w:rsidR="000B2A16" w:rsidRPr="00621B83">
        <w:t xml:space="preserve">) </w:t>
      </w:r>
      <w:r w:rsidR="007859C4" w:rsidRPr="00621B83">
        <w:t xml:space="preserve"> - </w:t>
      </w:r>
      <w:r w:rsidR="00381702" w:rsidRPr="00621B83">
        <w:t>подписана, датирана, сканирана и прикачена в ИСУН 2020</w:t>
      </w:r>
      <w:r w:rsidR="007859C4" w:rsidRPr="00621B83">
        <w:t>;</w:t>
      </w:r>
    </w:p>
    <w:p w14:paraId="31887A0F" w14:textId="11812663" w:rsidR="002F29B0" w:rsidRPr="00621B83" w:rsidRDefault="002F29B0" w:rsidP="002F29B0">
      <w:pPr>
        <w:numPr>
          <w:ilvl w:val="0"/>
          <w:numId w:val="32"/>
        </w:numPr>
        <w:rPr>
          <w:rFonts w:eastAsia="Calibri"/>
        </w:rPr>
      </w:pPr>
      <w:r w:rsidRPr="00621B83">
        <w:rPr>
          <w:rFonts w:eastAsia="Calibri"/>
        </w:rPr>
        <w:t>Автобиографии на членовете на екипа за управление на проекта</w:t>
      </w:r>
      <w:r w:rsidR="00344E15" w:rsidRPr="00621B83">
        <w:rPr>
          <w:rFonts w:eastAsia="Calibri"/>
        </w:rPr>
        <w:t xml:space="preserve"> – ръководител на екипа, технически експерт и финансов експерт</w:t>
      </w:r>
      <w:r w:rsidRPr="00621B83">
        <w:rPr>
          <w:rFonts w:eastAsia="Calibri"/>
        </w:rPr>
        <w:t xml:space="preserve"> (Приложение </w:t>
      </w:r>
      <w:r w:rsidR="00D2247D" w:rsidRPr="00621B83">
        <w:rPr>
          <w:rFonts w:eastAsia="Calibri"/>
          <w:lang w:val="en-US"/>
        </w:rPr>
        <w:t>P</w:t>
      </w:r>
      <w:r w:rsidRPr="00621B83">
        <w:rPr>
          <w:rFonts w:eastAsia="Calibri"/>
        </w:rPr>
        <w:t xml:space="preserve">) - </w:t>
      </w:r>
      <w:r w:rsidRPr="00621B83">
        <w:t>подписани, сканирани и прикачени в ИСУН 2020</w:t>
      </w:r>
      <w:r w:rsidR="001C6BD3">
        <w:rPr>
          <w:rFonts w:eastAsia="Calibri"/>
        </w:rPr>
        <w:t>.</w:t>
      </w:r>
    </w:p>
    <w:p w14:paraId="5997E6A6" w14:textId="77777777" w:rsidR="0097222F" w:rsidRPr="00621B83" w:rsidRDefault="0097222F" w:rsidP="00621B83">
      <w:pPr>
        <w:spacing w:after="160" w:line="259" w:lineRule="auto"/>
        <w:rPr>
          <w:rFonts w:eastAsia="Calibri"/>
        </w:rPr>
      </w:pPr>
      <w:r w:rsidRPr="00621B83">
        <w:rPr>
          <w:rFonts w:eastAsia="Calibri"/>
        </w:rPr>
        <w:t xml:space="preserve">Всички декларации от </w:t>
      </w:r>
      <w:r w:rsidR="00344E15" w:rsidRPr="00621B83">
        <w:rPr>
          <w:rFonts w:eastAsia="Calibri"/>
        </w:rPr>
        <w:t xml:space="preserve">Кандидата </w:t>
      </w:r>
      <w:r w:rsidRPr="00621B83">
        <w:rPr>
          <w:rFonts w:eastAsia="Calibri"/>
        </w:rPr>
        <w:t xml:space="preserve">се подписват от законния представител на </w:t>
      </w:r>
      <w:r w:rsidR="00344E15" w:rsidRPr="00621B83">
        <w:rPr>
          <w:rFonts w:eastAsia="Calibri"/>
        </w:rPr>
        <w:t>Кандидата</w:t>
      </w:r>
      <w:r w:rsidRPr="00621B83">
        <w:rPr>
          <w:rFonts w:eastAsia="Calibri"/>
        </w:rPr>
        <w:t xml:space="preserve">. </w:t>
      </w:r>
    </w:p>
    <w:p w14:paraId="33785136" w14:textId="77777777" w:rsidR="005558C1" w:rsidRPr="00621B83" w:rsidRDefault="00A16C8F" w:rsidP="00621B83">
      <w:pPr>
        <w:spacing w:after="160" w:line="259" w:lineRule="auto"/>
        <w:rPr>
          <w:rFonts w:eastAsia="Calibri"/>
        </w:rPr>
      </w:pPr>
      <w:r w:rsidRPr="00621B83">
        <w:rPr>
          <w:rFonts w:eastAsia="Calibri"/>
        </w:rPr>
        <w:t>Кандидатът представя и документите, отнасящи се за Партньора</w:t>
      </w:r>
      <w:r w:rsidR="009E7EBF" w:rsidRPr="00621B83">
        <w:rPr>
          <w:rFonts w:eastAsia="Calibri"/>
        </w:rPr>
        <w:t>/ите</w:t>
      </w:r>
      <w:r w:rsidRPr="00621B83">
        <w:rPr>
          <w:rFonts w:eastAsia="Calibri"/>
        </w:rPr>
        <w:t>, в случай че имат такива:</w:t>
      </w:r>
      <w:r w:rsidR="009E7EBF" w:rsidRPr="00621B83">
        <w:rPr>
          <w:rFonts w:eastAsia="Calibri"/>
        </w:rPr>
        <w:t xml:space="preserve"> </w:t>
      </w:r>
    </w:p>
    <w:p w14:paraId="29D05577" w14:textId="0BC32787" w:rsidR="000C6222" w:rsidRPr="00621B83" w:rsidRDefault="00A71FBF" w:rsidP="007D533E">
      <w:pPr>
        <w:numPr>
          <w:ilvl w:val="0"/>
          <w:numId w:val="67"/>
        </w:numPr>
      </w:pPr>
      <w:r w:rsidRPr="00621B83">
        <w:t>У</w:t>
      </w:r>
      <w:r w:rsidR="005558C1" w:rsidRPr="00621B83">
        <w:t>достоверение за регистрация</w:t>
      </w:r>
      <w:r w:rsidR="00A617A0">
        <w:t xml:space="preserve"> на Партньора</w:t>
      </w:r>
      <w:r w:rsidR="005558C1" w:rsidRPr="00621B83">
        <w:t xml:space="preserve"> (или подобен документ), издадено от компетентния орган в </w:t>
      </w:r>
      <w:r w:rsidR="008F6BBB" w:rsidRPr="00621B83">
        <w:t>страна</w:t>
      </w:r>
      <w:r w:rsidR="005558C1" w:rsidRPr="00621B83">
        <w:t>та-донор/</w:t>
      </w:r>
      <w:r w:rsidR="008F6BBB" w:rsidRPr="00621B83">
        <w:t>страната</w:t>
      </w:r>
      <w:r w:rsidR="005558C1" w:rsidRPr="00621B83">
        <w:t>-бенефициент</w:t>
      </w:r>
      <w:r w:rsidR="000C6222" w:rsidRPr="00621B83">
        <w:t xml:space="preserve"> - </w:t>
      </w:r>
      <w:r w:rsidR="00982319" w:rsidRPr="00621B83">
        <w:t>копие, сканирано и прикачено в ИСУН 2020</w:t>
      </w:r>
      <w:r w:rsidR="000C6222" w:rsidRPr="00621B83">
        <w:t>;</w:t>
      </w:r>
    </w:p>
    <w:p w14:paraId="386B8FB2" w14:textId="77777777" w:rsidR="000C6222" w:rsidRPr="00621B83" w:rsidRDefault="005558C1" w:rsidP="007D533E">
      <w:pPr>
        <w:numPr>
          <w:ilvl w:val="0"/>
          <w:numId w:val="67"/>
        </w:numPr>
      </w:pPr>
      <w:r w:rsidRPr="00621B83">
        <w:t>Последния</w:t>
      </w:r>
      <w:r w:rsidR="000C6222" w:rsidRPr="00621B83">
        <w:t>т</w:t>
      </w:r>
      <w:r w:rsidRPr="00621B83">
        <w:t xml:space="preserve"> одобрен Устав (или подобен документ)</w:t>
      </w:r>
      <w:r w:rsidR="00A71FBF" w:rsidRPr="00621B83">
        <w:t xml:space="preserve">/Референция/Информация от официалната интернет страница на </w:t>
      </w:r>
      <w:r w:rsidR="00E0624E" w:rsidRPr="00621B83">
        <w:t xml:space="preserve">Партньора </w:t>
      </w:r>
      <w:r w:rsidR="00A71FBF" w:rsidRPr="00621B83">
        <w:t>или друг документ</w:t>
      </w:r>
      <w:r w:rsidRPr="00621B83">
        <w:t xml:space="preserve">, който доказва, че </w:t>
      </w:r>
      <w:r w:rsidR="001D60B9" w:rsidRPr="00621B83">
        <w:t>партньор</w:t>
      </w:r>
      <w:r w:rsidR="0005469B" w:rsidRPr="00621B83">
        <w:t xml:space="preserve">ът притежава опит или експертиза в </w:t>
      </w:r>
      <w:r w:rsidR="00413797" w:rsidRPr="00621B83">
        <w:t>изпълнение</w:t>
      </w:r>
      <w:r w:rsidR="0005469B" w:rsidRPr="00621B83">
        <w:t>то</w:t>
      </w:r>
      <w:r w:rsidR="00413797" w:rsidRPr="00621B83">
        <w:t xml:space="preserve"> на дейности по енергийна ефективност</w:t>
      </w:r>
      <w:r w:rsidR="000C6222" w:rsidRPr="00621B83">
        <w:t xml:space="preserve"> - </w:t>
      </w:r>
      <w:r w:rsidR="00EB34CA" w:rsidRPr="00621B83">
        <w:t>копие, сканирано и прикачено в ИСУН 2020</w:t>
      </w:r>
      <w:r w:rsidR="000C6222" w:rsidRPr="00621B83">
        <w:t>;</w:t>
      </w:r>
    </w:p>
    <w:p w14:paraId="117474DC" w14:textId="77777777" w:rsidR="00743AB7" w:rsidRPr="00621B83" w:rsidRDefault="00743AB7" w:rsidP="007D533E">
      <w:pPr>
        <w:numPr>
          <w:ilvl w:val="0"/>
          <w:numId w:val="67"/>
        </w:numPr>
      </w:pPr>
      <w:r w:rsidRPr="00621B83">
        <w:t xml:space="preserve">Декларация за липса на основания за недопустимост на </w:t>
      </w:r>
      <w:r w:rsidR="00344E15" w:rsidRPr="00621B83">
        <w:t xml:space="preserve">Партньора </w:t>
      </w:r>
      <w:r w:rsidRPr="00621B83">
        <w:t>по т. 9.2. от Насоките за кандидатстване</w:t>
      </w:r>
      <w:r w:rsidR="00D72585" w:rsidRPr="00621B83">
        <w:t xml:space="preserve"> (Приложение </w:t>
      </w:r>
      <w:r w:rsidR="00D2247D" w:rsidRPr="00621B83">
        <w:rPr>
          <w:lang w:val="en-US"/>
        </w:rPr>
        <w:t>L</w:t>
      </w:r>
      <w:r w:rsidR="00D72585" w:rsidRPr="00621B83">
        <w:t>)</w:t>
      </w:r>
      <w:r w:rsidR="00C72DC7" w:rsidRPr="00621B83">
        <w:t xml:space="preserve"> – подписана, датирана, сканирана и прикачена в ИСУН 2020</w:t>
      </w:r>
      <w:r w:rsidRPr="00621B83">
        <w:t>;</w:t>
      </w:r>
    </w:p>
    <w:p w14:paraId="3BB3E38E" w14:textId="77777777" w:rsidR="009B264B" w:rsidRPr="00621B83" w:rsidRDefault="00E066BA" w:rsidP="007D533E">
      <w:pPr>
        <w:numPr>
          <w:ilvl w:val="0"/>
          <w:numId w:val="67"/>
        </w:numPr>
      </w:pPr>
      <w:r w:rsidRPr="00621B83">
        <w:t xml:space="preserve">Декларация за минимални и държавни помощи – попълнена по образец </w:t>
      </w:r>
      <w:r w:rsidR="00652216">
        <w:t xml:space="preserve">от Партньора </w:t>
      </w:r>
      <w:r w:rsidRPr="00621B83">
        <w:t xml:space="preserve">(Приложение </w:t>
      </w:r>
      <w:r w:rsidR="00D2247D" w:rsidRPr="00621B83">
        <w:rPr>
          <w:lang w:val="en-US"/>
        </w:rPr>
        <w:t>M</w:t>
      </w:r>
      <w:r w:rsidRPr="00621B83">
        <w:t xml:space="preserve">) – </w:t>
      </w:r>
      <w:r w:rsidR="00EB34CA" w:rsidRPr="00621B83">
        <w:t>подписан</w:t>
      </w:r>
      <w:r w:rsidR="00743AB7" w:rsidRPr="00621B83">
        <w:t>а</w:t>
      </w:r>
      <w:r w:rsidR="00EB34CA" w:rsidRPr="00621B83">
        <w:t>, датиран</w:t>
      </w:r>
      <w:r w:rsidR="00743AB7" w:rsidRPr="00621B83">
        <w:t>а</w:t>
      </w:r>
      <w:r w:rsidR="00EB34CA" w:rsidRPr="00621B83">
        <w:t>, сканиран</w:t>
      </w:r>
      <w:r w:rsidR="00743AB7" w:rsidRPr="00621B83">
        <w:t>а</w:t>
      </w:r>
      <w:r w:rsidR="00EB34CA" w:rsidRPr="00621B83">
        <w:t xml:space="preserve"> и прикачен</w:t>
      </w:r>
      <w:r w:rsidR="00743AB7" w:rsidRPr="00621B83">
        <w:t>а</w:t>
      </w:r>
      <w:r w:rsidR="00EB34CA" w:rsidRPr="00621B83">
        <w:t xml:space="preserve"> в ИСУН 2020</w:t>
      </w:r>
      <w:r w:rsidR="009B264B" w:rsidRPr="00621B83">
        <w:t>;</w:t>
      </w:r>
    </w:p>
    <w:p w14:paraId="7F2D8AEF" w14:textId="761DFDCD" w:rsidR="00211EF7" w:rsidRPr="00621B83" w:rsidRDefault="009B264B" w:rsidP="007D533E">
      <w:pPr>
        <w:numPr>
          <w:ilvl w:val="0"/>
          <w:numId w:val="67"/>
        </w:numPr>
      </w:pPr>
      <w:r w:rsidRPr="00621B83">
        <w:t>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чуждестранните Партньори за последната приключила финансова година</w:t>
      </w:r>
      <w:r w:rsidR="00C72DC7" w:rsidRPr="00621B83">
        <w:t xml:space="preserve"> - копие, сканирано и прикачено в ИСУН 2020.</w:t>
      </w:r>
    </w:p>
    <w:p w14:paraId="1137F68D" w14:textId="56D71A9F" w:rsidR="003F0A89" w:rsidRDefault="00123A8C" w:rsidP="00621B83">
      <w:pPr>
        <w:spacing w:after="160" w:line="259" w:lineRule="auto"/>
        <w:rPr>
          <w:rFonts w:eastAsia="Calibri"/>
        </w:rPr>
      </w:pPr>
      <w:r w:rsidRPr="00621B83">
        <w:rPr>
          <w:rFonts w:eastAsia="Calibri"/>
        </w:rPr>
        <w:t>В</w:t>
      </w:r>
      <w:r w:rsidR="00DA34AB" w:rsidRPr="00621B83">
        <w:rPr>
          <w:rFonts w:eastAsia="Calibri"/>
        </w:rPr>
        <w:t>сички д</w:t>
      </w:r>
      <w:r w:rsidR="0081643F" w:rsidRPr="00621B83">
        <w:rPr>
          <w:rFonts w:eastAsia="Calibri"/>
        </w:rPr>
        <w:t xml:space="preserve">окументи на чуждестранните </w:t>
      </w:r>
      <w:r w:rsidR="001C6BD3">
        <w:rPr>
          <w:rFonts w:eastAsia="Calibri"/>
        </w:rPr>
        <w:t>П</w:t>
      </w:r>
      <w:r w:rsidR="0081643F" w:rsidRPr="00621B83">
        <w:rPr>
          <w:rFonts w:eastAsia="Calibri"/>
        </w:rPr>
        <w:t>артньори се представят на английски език.</w:t>
      </w:r>
      <w:r w:rsidR="0097222F" w:rsidRPr="00621B83">
        <w:rPr>
          <w:rFonts w:eastAsia="Calibri"/>
        </w:rPr>
        <w:t xml:space="preserve"> </w:t>
      </w:r>
    </w:p>
    <w:p w14:paraId="2AFA3F4A" w14:textId="45250B87" w:rsidR="00A9582B" w:rsidRPr="00621B83" w:rsidRDefault="00A9582B" w:rsidP="00621B83">
      <w:pPr>
        <w:spacing w:after="160" w:line="259" w:lineRule="auto"/>
        <w:rPr>
          <w:rFonts w:eastAsia="Calibri"/>
        </w:rPr>
      </w:pPr>
      <w:r w:rsidRPr="00621B83">
        <w:rPr>
          <w:rFonts w:eastAsia="Calibri"/>
        </w:rPr>
        <w:t xml:space="preserve">Всички декларации от </w:t>
      </w:r>
      <w:r w:rsidR="00652216">
        <w:rPr>
          <w:rFonts w:eastAsia="Calibri"/>
        </w:rPr>
        <w:t>П</w:t>
      </w:r>
      <w:r>
        <w:rPr>
          <w:rFonts w:eastAsia="Calibri"/>
        </w:rPr>
        <w:t>артньора</w:t>
      </w:r>
      <w:r w:rsidRPr="00621B83">
        <w:rPr>
          <w:rFonts w:eastAsia="Calibri"/>
        </w:rPr>
        <w:t xml:space="preserve"> се подписват от законния представител на </w:t>
      </w:r>
      <w:r>
        <w:rPr>
          <w:rFonts w:eastAsia="Calibri"/>
        </w:rPr>
        <w:t>Партньора.</w:t>
      </w:r>
    </w:p>
    <w:p w14:paraId="5D5AB8F9" w14:textId="77777777" w:rsidR="0081643F" w:rsidRPr="00621B83" w:rsidRDefault="0081643F" w:rsidP="00621B83">
      <w:pPr>
        <w:spacing w:after="160" w:line="259" w:lineRule="auto"/>
        <w:rPr>
          <w:rFonts w:eastAsia="Calibri"/>
        </w:rPr>
      </w:pPr>
    </w:p>
    <w:p w14:paraId="7C77000B" w14:textId="77777777" w:rsidR="00705551" w:rsidRPr="00716C51" w:rsidRDefault="00DA34AB" w:rsidP="00C021CC">
      <w:pPr>
        <w:pStyle w:val="Heading2"/>
      </w:pPr>
      <w:bookmarkStart w:id="50" w:name="_Toc24983859"/>
      <w:r w:rsidRPr="00716C51">
        <w:t>КРАЕН СРОК ЗА ПОДАВАНЕ НА ПРОЕКТНИТЕ ПРЕДЛОЖЕНИЯ</w:t>
      </w:r>
      <w:bookmarkEnd w:id="50"/>
    </w:p>
    <w:p w14:paraId="7C49B328" w14:textId="69805D22" w:rsidR="00454EF0" w:rsidRPr="00621B83" w:rsidRDefault="00422ADF" w:rsidP="00454EF0">
      <w:r w:rsidRPr="00D37A33">
        <w:rPr>
          <w:b/>
          <w:bCs/>
          <w:iCs/>
        </w:rPr>
        <w:t>Крайният срок за подаване на проектни предложения е</w:t>
      </w:r>
      <w:r w:rsidRPr="00D37A33">
        <w:rPr>
          <w:b/>
        </w:rPr>
        <w:t xml:space="preserve"> </w:t>
      </w:r>
      <w:r w:rsidRPr="00D37A33">
        <w:rPr>
          <w:b/>
          <w:bCs/>
          <w:iCs/>
        </w:rPr>
        <w:t>16:30 часа на 20 март 2020 г.</w:t>
      </w:r>
      <w:bookmarkStart w:id="51" w:name="_GoBack"/>
      <w:bookmarkEnd w:id="51"/>
    </w:p>
    <w:p w14:paraId="326B0DD4" w14:textId="77777777" w:rsidR="00997D04" w:rsidRPr="00621B83" w:rsidRDefault="00997D04" w:rsidP="00454EF0"/>
    <w:p w14:paraId="4FFE4113" w14:textId="77777777" w:rsidR="00705551" w:rsidRPr="00716C51" w:rsidRDefault="00DA34AB" w:rsidP="00C021CC">
      <w:pPr>
        <w:pStyle w:val="Heading2"/>
      </w:pPr>
      <w:bookmarkStart w:id="52" w:name="_Toc24983860"/>
      <w:r w:rsidRPr="00716C51">
        <w:t>АДРЕС ЗА ПОДАВАНЕ НА ПРОЕКТНИТЕ ПРЕДЛОЖЕНИЯ</w:t>
      </w:r>
      <w:bookmarkEnd w:id="52"/>
    </w:p>
    <w:p w14:paraId="6813658B" w14:textId="77777777" w:rsidR="0035623C" w:rsidRPr="00621B83" w:rsidRDefault="00C964DF" w:rsidP="0035623C">
      <w:r w:rsidRPr="00621B83">
        <w:t xml:space="preserve">Проектните предложения по настоящата процедура се подават по изцяло електронен път чрез ИСУН 2020 на следния интернет адрес: </w:t>
      </w:r>
      <w:hyperlink r:id="rId46" w:history="1">
        <w:r w:rsidR="007D26DA" w:rsidRPr="00621B83">
          <w:rPr>
            <w:rStyle w:val="Hyperlink"/>
          </w:rPr>
          <w:t>https://eumis2020.government.bg</w:t>
        </w:r>
      </w:hyperlink>
      <w:r w:rsidRPr="00621B83">
        <w:t>.</w:t>
      </w:r>
    </w:p>
    <w:p w14:paraId="4B2B7810" w14:textId="77777777" w:rsidR="00B350B3" w:rsidRPr="00621B83" w:rsidRDefault="00B350B3" w:rsidP="00B350B3">
      <w:pPr>
        <w:pStyle w:val="Heading1"/>
      </w:pPr>
      <w:bookmarkStart w:id="53" w:name="_Toc24983861"/>
      <w:r w:rsidRPr="00621B83">
        <w:t>РЕД ЗА ОЦЕНЯВАНЕ НА ПРОЕКТНИТЕ ПРЕДЛОЖЕНИЯ</w:t>
      </w:r>
      <w:bookmarkEnd w:id="53"/>
    </w:p>
    <w:p w14:paraId="5DA9CD3C" w14:textId="39380293" w:rsidR="00B350B3" w:rsidRPr="00621B83" w:rsidRDefault="00B350B3" w:rsidP="00B350B3">
      <w:r w:rsidRPr="00621B83">
        <w:t xml:space="preserve">Проектните предложения се избират чрез </w:t>
      </w:r>
      <w:r w:rsidR="001719ED" w:rsidRPr="00621B83">
        <w:t>процедура за подбор на проекти</w:t>
      </w:r>
      <w:r w:rsidRPr="00621B83">
        <w:t xml:space="preserve">, </w:t>
      </w:r>
      <w:r w:rsidR="001719ED" w:rsidRPr="00621B83">
        <w:t xml:space="preserve">организирана </w:t>
      </w:r>
      <w:r w:rsidRPr="00621B83">
        <w:t xml:space="preserve">в съответствие с клаузите и разпоредбите </w:t>
      </w:r>
      <w:r w:rsidR="00FA7967" w:rsidRPr="00621B83">
        <w:t xml:space="preserve">на </w:t>
      </w:r>
      <w:r w:rsidRPr="00621B83">
        <w:t>чл. 7.4 от Регламента</w:t>
      </w:r>
      <w:r w:rsidR="006F55E4" w:rsidRPr="00621B83">
        <w:t>,</w:t>
      </w:r>
      <w:r w:rsidRPr="00621B83">
        <w:t xml:space="preserve"> националното законодателство</w:t>
      </w:r>
      <w:r w:rsidR="00A9582B">
        <w:t xml:space="preserve">, </w:t>
      </w:r>
      <w:r w:rsidR="00A9582B" w:rsidRPr="00A9582B">
        <w:t>Програмно</w:t>
      </w:r>
      <w:r w:rsidR="002D76E7">
        <w:t>то</w:t>
      </w:r>
      <w:r w:rsidR="00A9582B" w:rsidRPr="00A9582B">
        <w:t xml:space="preserve"> споразумение между Комитета на Финансовия механизъм и Националното координационно звено на Република България за финансирането на Програма „Възобновяема енергия, енергийна ефективност, енергийна сигурност“</w:t>
      </w:r>
      <w:r w:rsidR="002D76E7">
        <w:t xml:space="preserve"> </w:t>
      </w:r>
      <w:r w:rsidR="006F55E4" w:rsidRPr="00621B83">
        <w:t>и Системата за управление и контрол на Програмния оператор</w:t>
      </w:r>
      <w:r w:rsidRPr="00621B83">
        <w:t xml:space="preserve">. </w:t>
      </w:r>
    </w:p>
    <w:p w14:paraId="56336551" w14:textId="77777777" w:rsidR="00FA7967" w:rsidRPr="00621B83" w:rsidRDefault="00FA7967" w:rsidP="00B350B3">
      <w:r w:rsidRPr="00621B83">
        <w:t xml:space="preserve">Всички подадени в срок проектни предложения се оценяват в съответствие с критериите, описани в настоящите </w:t>
      </w:r>
      <w:r w:rsidR="00EE5F23" w:rsidRPr="00621B83">
        <w:t>Н</w:t>
      </w:r>
      <w:r w:rsidRPr="00621B83">
        <w:t>асоки. Оценката се извършва в Единната информационна система за управление ИСУН 2020, като проектните предложения, подадени в срок, се включват в оценителна сесия.</w:t>
      </w:r>
    </w:p>
    <w:p w14:paraId="0CC2AB32" w14:textId="77777777" w:rsidR="004E165F" w:rsidRPr="00621B83" w:rsidRDefault="004E165F" w:rsidP="00B350B3">
      <w:r w:rsidRPr="00621B83">
        <w:t>В рамките на настоящата процедура всеки Кандидат може да подаде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w:t>
      </w:r>
      <w:r w:rsidR="00207818">
        <w:rPr>
          <w:lang w:val="en-US" w:eastAsia="ar-SA"/>
        </w:rPr>
        <w:t xml:space="preserve"> </w:t>
      </w:r>
      <w:r w:rsidR="00207818">
        <w:rPr>
          <w:lang w:eastAsia="ar-SA"/>
        </w:rPr>
        <w:t>в рамките на крайния срок по процедурата</w:t>
      </w:r>
      <w:r w:rsidRPr="00621B83">
        <w:t>, а предходните се считат за оттеглени.</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B350B3" w:rsidRPr="00983251" w14:paraId="78F2EA9D"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32E5DAE" w14:textId="77777777" w:rsidR="00B350B3" w:rsidRPr="00621B83" w:rsidRDefault="00B350B3" w:rsidP="00530E08">
            <w:pPr>
              <w:rPr>
                <w:b/>
              </w:rPr>
            </w:pPr>
            <w:r w:rsidRPr="00621B83">
              <w:rPr>
                <w:b/>
              </w:rPr>
              <w:t>ВАЖНО!</w:t>
            </w:r>
          </w:p>
          <w:p w14:paraId="44CC9EBF" w14:textId="77777777" w:rsidR="00B350B3" w:rsidRPr="00621B83" w:rsidRDefault="00B350B3" w:rsidP="0081643F">
            <w:pPr>
              <w:rPr>
                <w:b/>
              </w:rPr>
            </w:pPr>
            <w:r w:rsidRPr="00621B83">
              <w:rPr>
                <w:b/>
              </w:rPr>
              <w:t>Проектно предложение, получено след крайния срок, ще бъде регистрирано, но няма да бъде разгледано и оценявано.</w:t>
            </w:r>
            <w:r w:rsidR="0081643F" w:rsidRPr="00621B83">
              <w:rPr>
                <w:b/>
              </w:rPr>
              <w:t xml:space="preserve"> Кандидатът</w:t>
            </w:r>
            <w:r w:rsidRPr="00621B83">
              <w:rPr>
                <w:b/>
              </w:rPr>
              <w:t xml:space="preserve"> ще </w:t>
            </w:r>
            <w:r w:rsidR="0081643F" w:rsidRPr="00621B83">
              <w:rPr>
                <w:b/>
              </w:rPr>
              <w:t xml:space="preserve">бъде </w:t>
            </w:r>
            <w:r w:rsidRPr="00621B83">
              <w:rPr>
                <w:b/>
              </w:rPr>
              <w:t>уведомен за това чрез комуникационния модул в ИСУН 2020.</w:t>
            </w:r>
          </w:p>
        </w:tc>
      </w:tr>
    </w:tbl>
    <w:p w14:paraId="1A1F7216" w14:textId="77777777" w:rsidR="00B350B3" w:rsidRPr="00621B83" w:rsidRDefault="00B350B3" w:rsidP="00B350B3"/>
    <w:p w14:paraId="436882F2" w14:textId="77777777" w:rsidR="00B350B3" w:rsidRPr="00621B83" w:rsidRDefault="00B350B3" w:rsidP="00B350B3">
      <w:r w:rsidRPr="00621B83">
        <w:t>Оценката и подборът на проектни предложения се извършва на три етапа:</w:t>
      </w:r>
    </w:p>
    <w:p w14:paraId="1B74464C" w14:textId="77777777" w:rsidR="00B350B3" w:rsidRPr="00621B83" w:rsidRDefault="00B350B3" w:rsidP="00B350B3">
      <w:r w:rsidRPr="00621B83">
        <w:t>Етап 1: Оценка на административното съответствие и допустимостта(ОАСД);</w:t>
      </w:r>
    </w:p>
    <w:p w14:paraId="56B996EB" w14:textId="77777777" w:rsidR="00B350B3" w:rsidRPr="00621B83" w:rsidRDefault="00B350B3" w:rsidP="00B350B3">
      <w:r w:rsidRPr="00621B83">
        <w:t>Етап 2: Техническа и финансова оценка (ТФО);</w:t>
      </w:r>
    </w:p>
    <w:p w14:paraId="28DF8FE3" w14:textId="77777777" w:rsidR="00B350B3" w:rsidRPr="00621B83" w:rsidRDefault="00B350B3" w:rsidP="00B350B3">
      <w:r w:rsidRPr="00621B83">
        <w:t xml:space="preserve">Етап 3: </w:t>
      </w:r>
      <w:r w:rsidR="006F55E4" w:rsidRPr="00621B83">
        <w:t>П</w:t>
      </w:r>
      <w:r w:rsidRPr="00621B83">
        <w:t xml:space="preserve">одбор на проекти (ПП). </w:t>
      </w:r>
      <w:bookmarkStart w:id="54" w:name="_Toc536534208"/>
    </w:p>
    <w:p w14:paraId="239FBB21" w14:textId="77777777" w:rsidR="006F55E4" w:rsidRPr="00621B83" w:rsidRDefault="006F55E4" w:rsidP="0081643F">
      <w:r w:rsidRPr="00621B83">
        <w:t>За осъществяване на тези три етапа ПО ще назначи следните комисии:</w:t>
      </w:r>
    </w:p>
    <w:p w14:paraId="41DA954A" w14:textId="77777777" w:rsidR="006F55E4" w:rsidRPr="00621B83" w:rsidRDefault="006F55E4" w:rsidP="00B62BA5">
      <w:pPr>
        <w:numPr>
          <w:ilvl w:val="6"/>
          <w:numId w:val="1"/>
        </w:numPr>
        <w:tabs>
          <w:tab w:val="clear" w:pos="2520"/>
          <w:tab w:val="num" w:pos="426"/>
        </w:tabs>
        <w:ind w:left="426" w:hanging="426"/>
      </w:pPr>
      <w:r w:rsidRPr="00621B83">
        <w:t>Оценителна комисия – осъществяваща Етап 1 и Етап 2</w:t>
      </w:r>
    </w:p>
    <w:p w14:paraId="799E097A" w14:textId="77777777" w:rsidR="006F55E4" w:rsidRPr="00621B83" w:rsidRDefault="006F55E4" w:rsidP="006F55E4">
      <w:r w:rsidRPr="00621B83">
        <w:t>Комисията се състои от:</w:t>
      </w:r>
    </w:p>
    <w:p w14:paraId="3EDE861B" w14:textId="77777777" w:rsidR="006F55E4" w:rsidRPr="00621B83" w:rsidRDefault="006F55E4" w:rsidP="00DF2A21">
      <w:pPr>
        <w:numPr>
          <w:ilvl w:val="0"/>
          <w:numId w:val="11"/>
        </w:numPr>
        <w:spacing w:after="0"/>
        <w:ind w:left="709" w:hanging="352"/>
      </w:pPr>
      <w:r w:rsidRPr="00621B83">
        <w:t>Председател (без право на глас) - ръководи и координира процеса по оценка;</w:t>
      </w:r>
    </w:p>
    <w:p w14:paraId="79CB8C27" w14:textId="77777777" w:rsidR="006F55E4" w:rsidRPr="00621B83" w:rsidRDefault="006F55E4" w:rsidP="00DF2A21">
      <w:pPr>
        <w:numPr>
          <w:ilvl w:val="0"/>
          <w:numId w:val="11"/>
        </w:numPr>
        <w:spacing w:after="0"/>
        <w:ind w:left="709" w:hanging="352"/>
      </w:pPr>
      <w:r w:rsidRPr="00621B83">
        <w:lastRenderedPageBreak/>
        <w:t>Секретар (без право на глас) - извършва техническо и административно подпомагане в процеса на оценка;</w:t>
      </w:r>
    </w:p>
    <w:p w14:paraId="10CCA5EA" w14:textId="77777777" w:rsidR="006F55E4" w:rsidRPr="00621B83" w:rsidRDefault="006F55E4" w:rsidP="00DF2A21">
      <w:pPr>
        <w:numPr>
          <w:ilvl w:val="0"/>
          <w:numId w:val="11"/>
        </w:numPr>
        <w:spacing w:after="0"/>
        <w:ind w:left="709" w:hanging="352"/>
      </w:pPr>
      <w:r w:rsidRPr="00621B83">
        <w:t xml:space="preserve">Експерти, номинирани от ПО, които да извършат проверката на етап „Административно съответствие и допустимост“ (АСД); </w:t>
      </w:r>
    </w:p>
    <w:p w14:paraId="1605AB4C" w14:textId="77777777" w:rsidR="006F55E4" w:rsidRPr="00621B83" w:rsidRDefault="006F55E4" w:rsidP="00DF2A21">
      <w:pPr>
        <w:numPr>
          <w:ilvl w:val="0"/>
          <w:numId w:val="11"/>
        </w:numPr>
        <w:spacing w:after="0"/>
        <w:ind w:left="709" w:hanging="352"/>
      </w:pPr>
      <w:r w:rsidRPr="00621B83">
        <w:t>Експерти, които да извършат оценка на етап „Техническа и финансова оценка“ (ТФО).</w:t>
      </w:r>
    </w:p>
    <w:p w14:paraId="7289394E" w14:textId="77777777" w:rsidR="006F55E4" w:rsidRPr="00621B83" w:rsidRDefault="006F55E4" w:rsidP="00DF2A21">
      <w:r w:rsidRPr="00621B83">
        <w:t>Оценителната комисия следва да приключи своята работа в срок до 3 месеца. Експертите оценяват проектните предложения по отделно и независимо един от друг.</w:t>
      </w:r>
    </w:p>
    <w:p w14:paraId="1568561B" w14:textId="77777777" w:rsidR="006F55E4" w:rsidRPr="00621B83" w:rsidRDefault="006F55E4" w:rsidP="00DF2A21">
      <w:r w:rsidRPr="00621B83">
        <w:t>Всеки опит на Кандидат да повлияе на оценителния процес по какъвто и да е начин (например чрез иницииране/осъществяване на контакт с участник в оценителния процес) се разглежда в ОК и може да доведе до отстраняване на съответното проектно предложение от процеса на оценка.</w:t>
      </w:r>
    </w:p>
    <w:p w14:paraId="5EBC0B85" w14:textId="77777777" w:rsidR="006F55E4" w:rsidRPr="00621B83" w:rsidRDefault="006F55E4" w:rsidP="00B62BA5">
      <w:pPr>
        <w:numPr>
          <w:ilvl w:val="6"/>
          <w:numId w:val="1"/>
        </w:numPr>
        <w:tabs>
          <w:tab w:val="clear" w:pos="2520"/>
          <w:tab w:val="num" w:pos="426"/>
        </w:tabs>
        <w:ind w:left="426" w:hanging="426"/>
      </w:pPr>
      <w:r w:rsidRPr="00621B83">
        <w:t>Комитет за подбор – осъществяваща етап 3</w:t>
      </w:r>
    </w:p>
    <w:p w14:paraId="6F12D29E" w14:textId="77777777" w:rsidR="006F55E4" w:rsidRPr="00621B83" w:rsidRDefault="006F55E4" w:rsidP="00DF2A21">
      <w:r w:rsidRPr="00621B83">
        <w:t>Комитетът за подбор включва представители на ПО и на Партньорите от страните-донори – NVE и OS и поне един член с право на глас, който е външен за ПО и за Партньорите. Представители на НКЗ и КФМ се канят на срещите на КПП като наблюдатели.</w:t>
      </w:r>
    </w:p>
    <w:p w14:paraId="4026E76B" w14:textId="77777777" w:rsidR="00EF71E2" w:rsidRPr="00621B83" w:rsidRDefault="00EF71E2" w:rsidP="006F55E4">
      <w:r w:rsidRPr="00621B83">
        <w:t xml:space="preserve">При извършване на оценката и подбора на проектни предложения </w:t>
      </w:r>
      <w:r w:rsidR="00D72585" w:rsidRPr="00621B83">
        <w:t>ПО</w:t>
      </w:r>
      <w:r w:rsidRPr="00621B83">
        <w:t xml:space="preserve"> ще спазва следните принципи</w:t>
      </w:r>
      <w:bookmarkEnd w:id="54"/>
      <w:r w:rsidRPr="00716C51">
        <w:t>:</w:t>
      </w:r>
    </w:p>
    <w:p w14:paraId="2F88BCA1" w14:textId="77777777" w:rsidR="00EF71E2" w:rsidRPr="00621B83" w:rsidRDefault="00EF71E2" w:rsidP="00DF2A21">
      <w:pPr>
        <w:numPr>
          <w:ilvl w:val="0"/>
          <w:numId w:val="11"/>
        </w:numPr>
        <w:spacing w:after="0"/>
        <w:ind w:left="709" w:hanging="352"/>
      </w:pPr>
      <w:r w:rsidRPr="00621B83">
        <w:t>Добро финансово управление</w:t>
      </w:r>
      <w:r w:rsidR="00D72585" w:rsidRPr="00621B83">
        <w:t>;</w:t>
      </w:r>
    </w:p>
    <w:p w14:paraId="2BB92E47" w14:textId="77777777" w:rsidR="00EF71E2" w:rsidRPr="00621B83" w:rsidRDefault="00EF71E2" w:rsidP="00DF2A21">
      <w:pPr>
        <w:numPr>
          <w:ilvl w:val="0"/>
          <w:numId w:val="11"/>
        </w:numPr>
        <w:spacing w:after="0"/>
        <w:ind w:left="709" w:hanging="352"/>
      </w:pPr>
      <w:r w:rsidRPr="00621B83">
        <w:t>Публичност и прозрачност</w:t>
      </w:r>
      <w:r w:rsidR="00D874A9" w:rsidRPr="00621B83">
        <w:t>:</w:t>
      </w:r>
      <w:r w:rsidRPr="00621B83">
        <w:t xml:space="preserve"> </w:t>
      </w:r>
    </w:p>
    <w:p w14:paraId="7A311FB3" w14:textId="77777777" w:rsidR="00EF71E2" w:rsidRPr="00621B83" w:rsidRDefault="00EF71E2" w:rsidP="009707D7">
      <w:pPr>
        <w:numPr>
          <w:ilvl w:val="0"/>
          <w:numId w:val="38"/>
        </w:numPr>
        <w:tabs>
          <w:tab w:val="left" w:pos="1260"/>
        </w:tabs>
        <w:ind w:leftChars="400" w:left="1206" w:hangingChars="270" w:hanging="486"/>
      </w:pPr>
      <w:r w:rsidRPr="00621B83">
        <w:t>Насоките за кандидатстване по всяка процедура, както и изискванията към проектните предложения и критериите за оценката им следва да са предварително публикувани. Не се допуска въвеждането на допълнителни критерии за оценка или изменение на критериите по време на провеждането на процедурата</w:t>
      </w:r>
      <w:r w:rsidR="00D874A9" w:rsidRPr="00621B83">
        <w:t>;</w:t>
      </w:r>
    </w:p>
    <w:p w14:paraId="499A01EC" w14:textId="77777777" w:rsidR="00EF71E2" w:rsidRPr="00621B83" w:rsidRDefault="00EF71E2" w:rsidP="009707D7">
      <w:pPr>
        <w:numPr>
          <w:ilvl w:val="0"/>
          <w:numId w:val="38"/>
        </w:numPr>
        <w:tabs>
          <w:tab w:val="left" w:pos="1260"/>
        </w:tabs>
        <w:ind w:leftChars="400" w:left="1206" w:hangingChars="270" w:hanging="486"/>
      </w:pPr>
      <w:r w:rsidRPr="00621B83">
        <w:t xml:space="preserve">До 14 дни от датата на сключване на договора за предоставяне на </w:t>
      </w:r>
      <w:r w:rsidR="00D72585" w:rsidRPr="00621B83">
        <w:t>БФП</w:t>
      </w:r>
      <w:r w:rsidRPr="00621B83">
        <w:t xml:space="preserve"> на интернет страницата на ПО и на Единния информационен портал се публикува информация относно предоставената помощ (Списък на сключените договори – по образец).</w:t>
      </w:r>
    </w:p>
    <w:p w14:paraId="3448AA27" w14:textId="77777777" w:rsidR="00EF71E2" w:rsidRPr="00621B83" w:rsidRDefault="00EF71E2" w:rsidP="00DF2A21">
      <w:pPr>
        <w:numPr>
          <w:ilvl w:val="0"/>
          <w:numId w:val="11"/>
        </w:numPr>
        <w:spacing w:after="0"/>
        <w:ind w:left="709" w:hanging="352"/>
      </w:pPr>
      <w:r w:rsidRPr="00621B83">
        <w:t xml:space="preserve">Свободна и лоялна конкуренция. Оценяването на проектите и предоставянето на </w:t>
      </w:r>
      <w:r w:rsidR="00D72585" w:rsidRPr="00621B83">
        <w:t>БФП</w:t>
      </w:r>
      <w:r w:rsidRPr="00621B83">
        <w:t xml:space="preserve"> се осъществява при липса на конфликт на интереси и равно третиране на всички кандидати.</w:t>
      </w:r>
    </w:p>
    <w:p w14:paraId="62B477D4" w14:textId="77777777" w:rsidR="00EF71E2" w:rsidRPr="00621B83" w:rsidRDefault="00EF71E2" w:rsidP="00DF2A21">
      <w:pPr>
        <w:numPr>
          <w:ilvl w:val="0"/>
          <w:numId w:val="11"/>
        </w:numPr>
        <w:spacing w:after="0"/>
        <w:ind w:left="709" w:hanging="352"/>
      </w:pPr>
      <w:r w:rsidRPr="00621B83">
        <w:t xml:space="preserve">Равнопоставеност и недопускане на дискриминация. Проектните предложения, предложени за финансиране, трябва да са оценени при спазване на публикуваните критерии за оценка на проектните предложения и еднакво прилагане на правилата спрямо всички кандидати. </w:t>
      </w:r>
    </w:p>
    <w:p w14:paraId="4065DBCE" w14:textId="77777777" w:rsidR="00EF71E2" w:rsidRPr="00621B83" w:rsidRDefault="00EF71E2" w:rsidP="00DF2A21">
      <w:pPr>
        <w:numPr>
          <w:ilvl w:val="0"/>
          <w:numId w:val="11"/>
        </w:numPr>
        <w:spacing w:after="0"/>
        <w:ind w:left="709" w:hanging="352"/>
      </w:pPr>
      <w:r w:rsidRPr="00621B83">
        <w:t xml:space="preserve">Забрана за двойно финансиране. Безвъзмездната финансова помощ не може да бъде предоставяна за финансиране на разходи, които вече са финансирани с други публични средства, различни от тези на бенефициента. Преди сключване на договор с </w:t>
      </w:r>
      <w:r w:rsidR="00D72585" w:rsidRPr="00621B83">
        <w:t>Кандидатите</w:t>
      </w:r>
      <w:r w:rsidRPr="00621B83">
        <w:t>, чиито проектни предложения са одобрени за финансиране се извършва проверка за липса на двойно финансиране на проектите и в случай, че се установи наличие на двойно финансиране на проект или на дейност от него, Р</w:t>
      </w:r>
      <w:r w:rsidR="00D72585" w:rsidRPr="00621B83">
        <w:t xml:space="preserve">ъководителят на </w:t>
      </w:r>
      <w:r w:rsidRPr="00621B83">
        <w:t xml:space="preserve">ПО издава мотивирано решение за отказ за предоставяне на </w:t>
      </w:r>
      <w:r w:rsidR="00D72585" w:rsidRPr="00621B83">
        <w:t>БФП</w:t>
      </w:r>
      <w:r w:rsidRPr="00621B83">
        <w:t xml:space="preserve"> на </w:t>
      </w:r>
      <w:r w:rsidR="00D72585" w:rsidRPr="00621B83">
        <w:t>Кандидата</w:t>
      </w:r>
      <w:r w:rsidRPr="00621B83">
        <w:t xml:space="preserve">. </w:t>
      </w:r>
    </w:p>
    <w:p w14:paraId="1EAE34DF" w14:textId="77777777" w:rsidR="00EF71E2" w:rsidRPr="00621B83" w:rsidRDefault="00EF71E2" w:rsidP="00DF2A21">
      <w:pPr>
        <w:numPr>
          <w:ilvl w:val="0"/>
          <w:numId w:val="11"/>
        </w:numPr>
        <w:spacing w:after="0"/>
        <w:ind w:left="709" w:hanging="352"/>
      </w:pPr>
      <w:r w:rsidRPr="00621B83">
        <w:t>Съобразяване с прага на допустимите държавни и/или минимални помощи, когато се кандидатства за съответния вид помощ. В случай че преди момента на сключване на договор се установи надхвърляне на прага на допустимите държавни/минимални помощи</w:t>
      </w:r>
      <w:r w:rsidR="002800F6" w:rsidRPr="00621B83">
        <w:rPr>
          <w:lang w:val="en-US"/>
        </w:rPr>
        <w:t xml:space="preserve"> </w:t>
      </w:r>
      <w:r w:rsidR="002800F6" w:rsidRPr="00621B83">
        <w:t xml:space="preserve">за </w:t>
      </w:r>
      <w:r w:rsidR="002800F6" w:rsidRPr="00621B83">
        <w:lastRenderedPageBreak/>
        <w:t>Партньора</w:t>
      </w:r>
      <w:r w:rsidRPr="00621B83">
        <w:t xml:space="preserve">, Ръководителят на ПО издава мотивирано решение за отказ за предоставяне на </w:t>
      </w:r>
      <w:r w:rsidR="00D72585" w:rsidRPr="00621B83">
        <w:t>БФП</w:t>
      </w:r>
      <w:r w:rsidRPr="00621B83">
        <w:t xml:space="preserve"> на </w:t>
      </w:r>
      <w:r w:rsidR="00D72585" w:rsidRPr="00621B83">
        <w:t>К</w:t>
      </w:r>
      <w:r w:rsidRPr="00621B83">
        <w:t>андидата.</w:t>
      </w:r>
    </w:p>
    <w:p w14:paraId="1C2F09FC" w14:textId="77777777" w:rsidR="00EF71E2" w:rsidRPr="00621B83" w:rsidRDefault="00EF71E2" w:rsidP="00DF2A21">
      <w:pPr>
        <w:numPr>
          <w:ilvl w:val="0"/>
          <w:numId w:val="11"/>
        </w:numPr>
        <w:spacing w:after="0"/>
        <w:ind w:left="709" w:hanging="352"/>
      </w:pPr>
      <w:r w:rsidRPr="00621B83">
        <w:t>Бързина на оценителния процес. Всички участници в оценителния процес са длъжни да приключат оценката на проектните предложения в срока, определен в заповедта за назначаване на оценителна комисия.</w:t>
      </w:r>
    </w:p>
    <w:p w14:paraId="539EBA26" w14:textId="77777777" w:rsidR="00EF71E2" w:rsidRPr="00621B83" w:rsidRDefault="00EF71E2" w:rsidP="00DF2A21">
      <w:pPr>
        <w:numPr>
          <w:ilvl w:val="0"/>
          <w:numId w:val="11"/>
        </w:numPr>
        <w:spacing w:after="0"/>
        <w:ind w:left="709" w:hanging="352"/>
      </w:pPr>
      <w:r w:rsidRPr="00621B83">
        <w:t>Конфиденциалност на оценителния процес. Цялата процедура на оценяване на проектни предложения протича в условията на поверителност от стартирането й до одобрението на резултатите от оценката. В този период никаква информация относно оценяването или решенията на оценителната комисия не може да бъде разгласявана пред трети лица, неучастващи в процедурата по оценяване.</w:t>
      </w:r>
    </w:p>
    <w:p w14:paraId="0B582717" w14:textId="77777777" w:rsidR="008066E5" w:rsidRPr="00621B83" w:rsidRDefault="00EF71E2" w:rsidP="00DF2A21">
      <w:pPr>
        <w:numPr>
          <w:ilvl w:val="0"/>
          <w:numId w:val="11"/>
        </w:numPr>
        <w:spacing w:after="0"/>
        <w:ind w:left="709" w:hanging="352"/>
      </w:pPr>
      <w:r w:rsidRPr="00621B83">
        <w:t>Лицата, включени в състава на оценителната комисия, не следва да отговарят за изпълнението и финансовото отчитане на одобрените за финансиране проекти.</w:t>
      </w:r>
    </w:p>
    <w:p w14:paraId="4FE04451" w14:textId="77777777" w:rsidR="00B350B3" w:rsidRPr="00621B83" w:rsidRDefault="00B350B3" w:rsidP="00B350B3"/>
    <w:p w14:paraId="69A9C2A5" w14:textId="77777777" w:rsidR="00B350B3" w:rsidRPr="00716C51" w:rsidRDefault="00B350B3" w:rsidP="00DF2A21">
      <w:pPr>
        <w:pStyle w:val="Heading2"/>
        <w:numPr>
          <w:ilvl w:val="1"/>
          <w:numId w:val="72"/>
        </w:numPr>
      </w:pPr>
      <w:bookmarkStart w:id="55" w:name="_Toc24983862"/>
      <w:r w:rsidRPr="00716C51">
        <w:t>ОЦЕНКА НА АДМИНИСТРАТИВНОТО СЪОТВЕТСТВИЕ И ДОПУСТИМОСТТА</w:t>
      </w:r>
      <w:bookmarkEnd w:id="55"/>
    </w:p>
    <w:p w14:paraId="309D315F" w14:textId="77777777" w:rsidR="00EE0A6B" w:rsidRPr="00DF2A21" w:rsidRDefault="00EE0A6B" w:rsidP="00DF2A21">
      <w:r w:rsidRPr="00DF2A21">
        <w:t xml:space="preserve">На този етап се преценява дали проектното предложение отговаря на всички критерии за допустимост и пълнота, в съответствие с изискванията на ПО, публикувани в </w:t>
      </w:r>
      <w:r w:rsidR="00E5560F" w:rsidRPr="00DF2A21">
        <w:t xml:space="preserve">Приложение </w:t>
      </w:r>
      <w:r w:rsidR="00D2247D" w:rsidRPr="00DF2A21">
        <w:t>A</w:t>
      </w:r>
      <w:r w:rsidR="00E5560F" w:rsidRPr="00DF2A21">
        <w:t xml:space="preserve"> към </w:t>
      </w:r>
      <w:r w:rsidRPr="00DF2A21">
        <w:t xml:space="preserve">Насоките за кандидатстване. </w:t>
      </w:r>
    </w:p>
    <w:p w14:paraId="197BE5E7" w14:textId="77777777" w:rsidR="003A4AFB" w:rsidRPr="00DF2A21" w:rsidRDefault="003A4AFB" w:rsidP="00DF2A21">
      <w:r w:rsidRPr="00DF2A21">
        <w:t xml:space="preserve">Оценката на </w:t>
      </w:r>
      <w:r w:rsidR="00604B8B" w:rsidRPr="00DF2A21">
        <w:t>АСД</w:t>
      </w:r>
      <w:r w:rsidRPr="00DF2A21">
        <w:t xml:space="preserve"> на </w:t>
      </w:r>
      <w:r w:rsidR="00EF71E2" w:rsidRPr="00DF2A21">
        <w:t>всяко проектно предложение</w:t>
      </w:r>
      <w:r w:rsidRPr="00DF2A21">
        <w:t xml:space="preserve"> се извършва от двама членове на комисията независимо един от друг, които могат да бъдат служители на </w:t>
      </w:r>
      <w:r w:rsidR="005E0603" w:rsidRPr="00DF2A21">
        <w:t>ПО</w:t>
      </w:r>
      <w:r w:rsidRPr="00DF2A21">
        <w:t xml:space="preserve"> или външни експерти. </w:t>
      </w:r>
    </w:p>
    <w:p w14:paraId="412F80F8" w14:textId="77777777" w:rsidR="003A4AFB" w:rsidRPr="00DF2A21" w:rsidRDefault="003A4AFB" w:rsidP="00DF2A21">
      <w:r w:rsidRPr="00DF2A21">
        <w:t xml:space="preserve">Когато при проверка на проектно предложение се установи липса на документ и/или несъответствие, до </w:t>
      </w:r>
      <w:r w:rsidR="00FA7967" w:rsidRPr="00DF2A21">
        <w:t xml:space="preserve">Кандидата </w:t>
      </w:r>
      <w:r w:rsidR="005F188B" w:rsidRPr="00DF2A21">
        <w:t xml:space="preserve">се изпраща писмо </w:t>
      </w:r>
      <w:r w:rsidRPr="00DF2A21">
        <w:t xml:space="preserve">с искане на допълнителни документи/информация. В писмото се определя разумен срок за отстраняване на посочените в него несъответствия, който не може да бъде по-кратък от пет работни дни и следва да е еднакъв за всички </w:t>
      </w:r>
      <w:r w:rsidR="00604B8B" w:rsidRPr="00DF2A21">
        <w:t xml:space="preserve">Кандидати </w:t>
      </w:r>
      <w:r w:rsidRPr="00DF2A21">
        <w:t xml:space="preserve">по процедурата. В случай че след допълнителното им изискване, документите не бъдат предоставени от </w:t>
      </w:r>
      <w:r w:rsidR="005E0603" w:rsidRPr="00DF2A21">
        <w:t xml:space="preserve">Кандидата </w:t>
      </w:r>
      <w:r w:rsidRPr="00DF2A21">
        <w:t xml:space="preserve">или са представени, но не съгласно изискванията в Насоките за кандидатстване, проектното предложение се отхвърля или на следващия етап на оценката проектното предложение ще бъде оценено вземайки предвид липсата на съответния документ или няма да бъде признат съответният заявен в бюджета разход. Разясненията и документите, които </w:t>
      </w:r>
      <w:r w:rsidR="003F530D" w:rsidRPr="00DF2A21">
        <w:t xml:space="preserve">Кандидатите </w:t>
      </w:r>
      <w:r w:rsidRPr="00DF2A21">
        <w:t>представят, не могат да водят до качествено подобрение на проектното предложение.</w:t>
      </w:r>
    </w:p>
    <w:p w14:paraId="567390D2" w14:textId="77777777" w:rsidR="003A4AFB" w:rsidRPr="00DF2A21" w:rsidRDefault="003A4AFB" w:rsidP="00DF2A21">
      <w:r w:rsidRPr="00DF2A21">
        <w:t xml:space="preserve">Комуникацията с </w:t>
      </w:r>
      <w:r w:rsidR="003F530D" w:rsidRPr="00DF2A21">
        <w:t xml:space="preserve">Кандидатите </w:t>
      </w:r>
      <w:r w:rsidRPr="00DF2A21">
        <w:t xml:space="preserve">се извършва чрез ИСУН 2020, като чрез модул „Комуникация“ до посочения в профила на </w:t>
      </w:r>
      <w:r w:rsidR="003F530D" w:rsidRPr="00DF2A21">
        <w:t>К</w:t>
      </w:r>
      <w:r w:rsidRPr="00DF2A21">
        <w:t xml:space="preserve">андидата електронен адрес се изпраща искане за получаване на допълнителна информация. Уведомлението за отстраняване на нередовностите се изпраща чрез изпращане на въпрос към кандидатите чрез ИСУН 2020 от администратор на сесия. Изпратеното уведомление за отстраняване на нередовности се счита за получено от </w:t>
      </w:r>
      <w:r w:rsidR="005E0603" w:rsidRPr="00DF2A21">
        <w:t xml:space="preserve">Кандидата </w:t>
      </w:r>
      <w:r w:rsidRPr="00DF2A21">
        <w:t xml:space="preserve">с изпращането му в ИСУН 2020. Изпратеният отговор на въпрос от </w:t>
      </w:r>
      <w:r w:rsidR="003F530D" w:rsidRPr="00DF2A21">
        <w:t xml:space="preserve">Кандидата </w:t>
      </w:r>
      <w:r w:rsidRPr="00DF2A21">
        <w:t xml:space="preserve">се счита за получен от </w:t>
      </w:r>
      <w:r w:rsidR="003F530D" w:rsidRPr="00DF2A21">
        <w:t>ОК</w:t>
      </w:r>
      <w:r w:rsidRPr="00DF2A21">
        <w:t xml:space="preserve"> с изпращането му в ИСУН 2020. На база на получената информация </w:t>
      </w:r>
      <w:r w:rsidR="003F530D" w:rsidRPr="00DF2A21">
        <w:t>ОК</w:t>
      </w:r>
      <w:r w:rsidRPr="00DF2A21">
        <w:t xml:space="preserve"> редактира единствено тази секция на </w:t>
      </w:r>
      <w:r w:rsidR="003F530D" w:rsidRPr="00DF2A21">
        <w:t>Формуляра</w:t>
      </w:r>
      <w:r w:rsidRPr="00DF2A21">
        <w:t xml:space="preserve">, където е необходима допълнителна информация. </w:t>
      </w:r>
    </w:p>
    <w:p w14:paraId="2A87A341" w14:textId="77777777" w:rsidR="003A4AFB" w:rsidRPr="00DF2A21" w:rsidRDefault="003A4AFB" w:rsidP="00DF2A21">
      <w:r w:rsidRPr="00DF2A21">
        <w:t xml:space="preserve">Кандидатите могат да оттеглят своите проектни предложения от оценителния процес с писмено заявление до ръководителя на ПО, като в тези случаи спира разглеждането на оттегленото предложение. </w:t>
      </w:r>
    </w:p>
    <w:p w14:paraId="308EBBB9" w14:textId="77777777" w:rsidR="003A4AFB" w:rsidRPr="00DF2A21" w:rsidRDefault="003A4AFB" w:rsidP="00DF2A21">
      <w:r w:rsidRPr="00DF2A21">
        <w:lastRenderedPageBreak/>
        <w:t>При извършване на проверката, двамата експерти независимо един от друг попълват контролни листа, съгласно критерии, които са неразделна част от Насоките за кандидатстване.</w:t>
      </w:r>
    </w:p>
    <w:p w14:paraId="6EC46A24" w14:textId="77777777" w:rsidR="00571DCD" w:rsidRPr="00DF2A21" w:rsidRDefault="003A4AFB" w:rsidP="00DF2A21">
      <w:r w:rsidRPr="00DF2A21">
        <w:t>Въз основа на направената проверка на административно</w:t>
      </w:r>
      <w:r w:rsidR="005E0603" w:rsidRPr="00DF2A21">
        <w:t>то</w:t>
      </w:r>
      <w:r w:rsidRPr="00DF2A21">
        <w:t xml:space="preserve"> съответствие и допустимост</w:t>
      </w:r>
      <w:r w:rsidR="005E0603" w:rsidRPr="00DF2A21">
        <w:t>та</w:t>
      </w:r>
      <w:r w:rsidRPr="00DF2A21">
        <w:t xml:space="preserve"> на </w:t>
      </w:r>
      <w:r w:rsidR="003F530D" w:rsidRPr="00DF2A21">
        <w:t>Кандидата</w:t>
      </w:r>
      <w:r w:rsidRPr="00DF2A21">
        <w:t>/</w:t>
      </w:r>
      <w:r w:rsidR="003F530D" w:rsidRPr="00DF2A21">
        <w:t>П</w:t>
      </w:r>
      <w:r w:rsidRPr="00DF2A21">
        <w:t xml:space="preserve">артньора, председателят на </w:t>
      </w:r>
      <w:r w:rsidR="003F530D" w:rsidRPr="00DF2A21">
        <w:t>ОК</w:t>
      </w:r>
      <w:r w:rsidRPr="00DF2A21">
        <w:t xml:space="preserve"> подготвя протокол за приключил етап на административно съответствие и допустимост на </w:t>
      </w:r>
      <w:r w:rsidR="003F530D" w:rsidRPr="00DF2A21">
        <w:t>Кандидата</w:t>
      </w:r>
      <w:r w:rsidRPr="00DF2A21">
        <w:t>/</w:t>
      </w:r>
      <w:r w:rsidR="003F530D" w:rsidRPr="00DF2A21">
        <w:t>Партньора</w:t>
      </w:r>
      <w:r w:rsidRPr="00DF2A21">
        <w:t>, ведно със списък на проектите, които не са допуснати до етап на техническа и финансова оценка и причините за това. Списъкът се публикува на Единния информационен портал за ФМ на ЕИП</w:t>
      </w:r>
      <w:r w:rsidR="005F188B" w:rsidRPr="00DF2A21">
        <w:t xml:space="preserve"> (</w:t>
      </w:r>
      <w:hyperlink r:id="rId47" w:history="1">
        <w:r w:rsidR="005F188B" w:rsidRPr="00DF2A21">
          <w:t>www.eeagrants.bg</w:t>
        </w:r>
      </w:hyperlink>
      <w:r w:rsidR="005F188B" w:rsidRPr="00DF2A21">
        <w:t>)</w:t>
      </w:r>
      <w:r w:rsidRPr="00DF2A21">
        <w:t xml:space="preserve">. </w:t>
      </w:r>
      <w:r w:rsidR="005F188B" w:rsidRPr="00DF2A21">
        <w:t>О</w:t>
      </w:r>
      <w:r w:rsidRPr="00DF2A21">
        <w:t xml:space="preserve">тхвърлените </w:t>
      </w:r>
      <w:r w:rsidR="003F530D" w:rsidRPr="00DF2A21">
        <w:t xml:space="preserve">Кандидати </w:t>
      </w:r>
      <w:r w:rsidR="005F188B" w:rsidRPr="00DF2A21">
        <w:t xml:space="preserve">се уведомяват </w:t>
      </w:r>
      <w:r w:rsidRPr="00DF2A21">
        <w:t xml:space="preserve">с изпращането на отделно уведомление до всеки от тях през модул „Комуникация“ в ИСУН 2020. </w:t>
      </w:r>
      <w:r w:rsidR="00C06D35" w:rsidRPr="00DF2A21">
        <w:t xml:space="preserve">За дата на получаване на уведомлението от Кандидата се счита датата на изпращането му чрез ИСУН 2020, независимо дали е получено уведомление на електронния адрес, асоцииран към профила на Кандидата. </w:t>
      </w:r>
      <w:r w:rsidRPr="00DF2A21">
        <w:t xml:space="preserve">В съобщението до </w:t>
      </w:r>
      <w:r w:rsidR="003F530D" w:rsidRPr="00DF2A21">
        <w:t xml:space="preserve">Кандидата </w:t>
      </w:r>
      <w:r w:rsidRPr="00DF2A21">
        <w:t>се посочват начинът и крайният срок за подаване на възражение.</w:t>
      </w:r>
      <w:r w:rsidR="00005F6A" w:rsidRPr="00DF2A21">
        <w:t xml:space="preserve"> </w:t>
      </w:r>
    </w:p>
    <w:p w14:paraId="0028E14A" w14:textId="77777777" w:rsidR="003F530D" w:rsidRPr="00DF2A21" w:rsidRDefault="003F530D" w:rsidP="00DF2A21">
      <w:r w:rsidRPr="00DF2A21">
        <w:t xml:space="preserve">Само проектни </w:t>
      </w:r>
      <w:r w:rsidR="00D569B4" w:rsidRPr="00DF2A21">
        <w:t>предложения</w:t>
      </w:r>
      <w:r w:rsidRPr="00DF2A21">
        <w:t xml:space="preserve">, преминали успешно </w:t>
      </w:r>
      <w:r w:rsidR="005E0603" w:rsidRPr="00DF2A21">
        <w:t>ОАСД</w:t>
      </w:r>
      <w:r w:rsidRPr="00DF2A21">
        <w:t xml:space="preserve">, подлежат на </w:t>
      </w:r>
      <w:r w:rsidR="005E0603" w:rsidRPr="00DF2A21">
        <w:t>ТФО</w:t>
      </w:r>
      <w:r w:rsidRPr="00DF2A21">
        <w:t xml:space="preserve"> и подбор.</w:t>
      </w:r>
    </w:p>
    <w:p w14:paraId="3B579140" w14:textId="77777777" w:rsidR="00571DCD" w:rsidRPr="00716C51" w:rsidRDefault="00571DCD" w:rsidP="000E6A2F">
      <w:pPr>
        <w:pStyle w:val="ListParagraph1"/>
        <w:spacing w:after="120" w:line="360" w:lineRule="auto"/>
        <w:ind w:left="0" w:firstLine="708"/>
        <w:rPr>
          <w:sz w:val="20"/>
          <w:szCs w:val="20"/>
          <w:lang w:eastAsia="ar-SA"/>
        </w:rPr>
      </w:pPr>
    </w:p>
    <w:p w14:paraId="296C1507" w14:textId="77777777" w:rsidR="00571DCD" w:rsidRPr="00716C51" w:rsidRDefault="006E431E" w:rsidP="00C021CC">
      <w:pPr>
        <w:pStyle w:val="Heading2"/>
      </w:pPr>
      <w:bookmarkStart w:id="56" w:name="_Toc24983863"/>
      <w:r w:rsidRPr="00716C51">
        <w:t>ПОДАВАНЕ И РАЗГЛЕЖДАНЕ НА ВЪЗРАЖЕНИЯ</w:t>
      </w:r>
      <w:bookmarkEnd w:id="56"/>
    </w:p>
    <w:p w14:paraId="76F80254" w14:textId="77777777" w:rsidR="00BC0437" w:rsidRPr="00621B83" w:rsidRDefault="00BC0437" w:rsidP="00621B83">
      <w:pPr>
        <w:tabs>
          <w:tab w:val="left" w:pos="993"/>
        </w:tabs>
        <w:spacing w:after="0"/>
      </w:pPr>
      <w:r w:rsidRPr="00621B83">
        <w:t xml:space="preserve">Кандидат, чието проектно предложение е предложено за отхвърляне от ОК, поради това че не отговаря на изискванията за административно съответствие и допустимост, може да подаде възражение пред ПО. </w:t>
      </w:r>
    </w:p>
    <w:p w14:paraId="237E4C86" w14:textId="77777777" w:rsidR="00BC0437" w:rsidRPr="00621B83" w:rsidRDefault="00BC0437" w:rsidP="00621B83">
      <w:pPr>
        <w:spacing w:after="0"/>
      </w:pPr>
      <w:r w:rsidRPr="00621B83">
        <w:rPr>
          <w:rFonts w:eastAsia="Calibri"/>
        </w:rPr>
        <w:t xml:space="preserve">В </w:t>
      </w:r>
      <w:r w:rsidR="003F530D" w:rsidRPr="00621B83">
        <w:rPr>
          <w:rFonts w:eastAsia="Calibri"/>
        </w:rPr>
        <w:t xml:space="preserve">уведомлението </w:t>
      </w:r>
      <w:r w:rsidRPr="00621B83">
        <w:rPr>
          <w:rFonts w:eastAsia="Calibri"/>
        </w:rPr>
        <w:t xml:space="preserve">до </w:t>
      </w:r>
      <w:r w:rsidR="003F530D" w:rsidRPr="00621B83">
        <w:rPr>
          <w:rFonts w:eastAsia="Calibri"/>
        </w:rPr>
        <w:t xml:space="preserve">Кандидата </w:t>
      </w:r>
      <w:r w:rsidRPr="00621B83">
        <w:rPr>
          <w:rFonts w:eastAsia="Calibri"/>
        </w:rPr>
        <w:t xml:space="preserve">се </w:t>
      </w:r>
      <w:r w:rsidRPr="00621B83">
        <w:t>посочват начинът и крайният срок за подаване на възражение.</w:t>
      </w:r>
      <w:r w:rsidR="00C06D35" w:rsidRPr="00621B83">
        <w:t xml:space="preserve"> Програмният оператор не носи отговорност, ако Кандидатите не получават уведомления</w:t>
      </w:r>
      <w:r w:rsidR="00B841DB" w:rsidRPr="00621B83">
        <w:t>та</w:t>
      </w:r>
      <w:r w:rsidR="00C06D35" w:rsidRPr="00621B83">
        <w:t xml:space="preserve"> за кореспонденция</w:t>
      </w:r>
      <w:r w:rsidR="00B841DB" w:rsidRPr="00621B83">
        <w:t>.</w:t>
      </w:r>
      <w:r w:rsidR="00C06D35" w:rsidRPr="00621B83">
        <w:t xml:space="preserve"> </w:t>
      </w:r>
    </w:p>
    <w:p w14:paraId="3F4A7BD5" w14:textId="77777777" w:rsidR="00D7384C" w:rsidRPr="00621B83" w:rsidRDefault="00D7384C" w:rsidP="00621B83">
      <w:pPr>
        <w:tabs>
          <w:tab w:val="left" w:pos="709"/>
          <w:tab w:val="left" w:pos="993"/>
        </w:tabs>
        <w:spacing w:after="0"/>
        <w:ind w:firstLine="709"/>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D7384C" w:rsidRPr="00983251" w14:paraId="300B7075"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77D7B57" w14:textId="77777777" w:rsidR="00D7384C" w:rsidRPr="00621B83" w:rsidRDefault="00D7384C" w:rsidP="00152388">
            <w:pPr>
              <w:rPr>
                <w:b/>
              </w:rPr>
            </w:pPr>
            <w:r w:rsidRPr="00621B83">
              <w:rPr>
                <w:b/>
              </w:rPr>
              <w:t>ВАЖНО!</w:t>
            </w:r>
          </w:p>
          <w:p w14:paraId="13F16DBC" w14:textId="77777777" w:rsidR="00D7384C" w:rsidRPr="00621B83" w:rsidRDefault="00D7384C" w:rsidP="00621B83">
            <w:pPr>
              <w:tabs>
                <w:tab w:val="left" w:pos="709"/>
                <w:tab w:val="left" w:pos="993"/>
              </w:tabs>
              <w:spacing w:after="0"/>
              <w:rPr>
                <w:b/>
              </w:rPr>
            </w:pPr>
            <w:r w:rsidRPr="00621B83">
              <w:rPr>
                <w:b/>
              </w:rPr>
              <w:t xml:space="preserve">Разглеждане на възраженията не спира извършването на </w:t>
            </w:r>
            <w:r w:rsidR="005E0603" w:rsidRPr="00621B83">
              <w:rPr>
                <w:b/>
              </w:rPr>
              <w:t>ТФО</w:t>
            </w:r>
            <w:r w:rsidRPr="00621B83">
              <w:rPr>
                <w:b/>
              </w:rPr>
              <w:t xml:space="preserve"> на проектните предложения, които</w:t>
            </w:r>
            <w:r w:rsidR="003F530D" w:rsidRPr="00621B83">
              <w:rPr>
                <w:b/>
              </w:rPr>
              <w:t xml:space="preserve"> са</w:t>
            </w:r>
            <w:r w:rsidRPr="00621B83">
              <w:rPr>
                <w:b/>
              </w:rPr>
              <w:t xml:space="preserve"> </w:t>
            </w:r>
            <w:r w:rsidR="003F530D" w:rsidRPr="00621B83">
              <w:rPr>
                <w:b/>
              </w:rPr>
              <w:t xml:space="preserve">преминали успешно </w:t>
            </w:r>
            <w:r w:rsidR="005E0603" w:rsidRPr="00621B83">
              <w:rPr>
                <w:b/>
              </w:rPr>
              <w:t>ОАСД</w:t>
            </w:r>
            <w:r w:rsidRPr="00621B83">
              <w:rPr>
                <w:b/>
              </w:rPr>
              <w:t>.</w:t>
            </w:r>
          </w:p>
        </w:tc>
      </w:tr>
    </w:tbl>
    <w:p w14:paraId="41E603F5" w14:textId="544A4E93" w:rsidR="00D7384C" w:rsidRPr="00621B83" w:rsidRDefault="00D7384C" w:rsidP="00621B83">
      <w:pPr>
        <w:tabs>
          <w:tab w:val="left" w:pos="709"/>
          <w:tab w:val="left" w:pos="993"/>
        </w:tabs>
        <w:spacing w:after="0"/>
        <w:ind w:firstLine="709"/>
      </w:pPr>
    </w:p>
    <w:p w14:paraId="3032A479" w14:textId="77777777" w:rsidR="00BC0437" w:rsidRPr="00621B83" w:rsidRDefault="00BC0437" w:rsidP="00621B83">
      <w:pPr>
        <w:tabs>
          <w:tab w:val="left" w:pos="993"/>
        </w:tabs>
        <w:spacing w:after="0"/>
      </w:pPr>
      <w:r w:rsidRPr="00621B83">
        <w:t xml:space="preserve">Възражението се подават до </w:t>
      </w:r>
      <w:r w:rsidR="003F530D" w:rsidRPr="00621B83">
        <w:t>Р</w:t>
      </w:r>
      <w:r w:rsidRPr="00621B83">
        <w:t>ъководителя на ПО в едноседмичен срок от съобщаването. Възражението се подава чрез ИСУН.</w:t>
      </w:r>
      <w:r w:rsidR="00C06D35" w:rsidRPr="00716C51">
        <w:t xml:space="preserve"> </w:t>
      </w:r>
    </w:p>
    <w:p w14:paraId="21DC80F6" w14:textId="77777777" w:rsidR="00BC0437" w:rsidRPr="00621B83" w:rsidRDefault="00BC0437" w:rsidP="00621B83">
      <w:pPr>
        <w:tabs>
          <w:tab w:val="left" w:pos="993"/>
        </w:tabs>
        <w:spacing w:after="0"/>
      </w:pPr>
      <w:r w:rsidRPr="00621B83">
        <w:t>Възраженията, които са подадени след срока или са подадени не по предвидения начин, се оставят без разглеждане.</w:t>
      </w:r>
    </w:p>
    <w:p w14:paraId="234C3064" w14:textId="77777777" w:rsidR="00BC0437" w:rsidRPr="00621B83" w:rsidRDefault="00BC0437" w:rsidP="00621B83">
      <w:pPr>
        <w:tabs>
          <w:tab w:val="left" w:pos="993"/>
        </w:tabs>
        <w:spacing w:after="0"/>
        <w:rPr>
          <w:shd w:val="clear" w:color="auto" w:fill="FEFEFE"/>
        </w:rPr>
      </w:pPr>
      <w:r w:rsidRPr="00621B83">
        <w:t>С възражението не могат да се представят нови документи и данни, които не са били част от представеното проектно предложение и представените допълнително по искане на</w:t>
      </w:r>
      <w:r w:rsidRPr="00621B83">
        <w:rPr>
          <w:shd w:val="clear" w:color="auto" w:fill="FEFEFE"/>
        </w:rPr>
        <w:t xml:space="preserve"> ОК.</w:t>
      </w:r>
    </w:p>
    <w:p w14:paraId="3CE929B2" w14:textId="77777777" w:rsidR="00BC0437" w:rsidRPr="00621B83" w:rsidRDefault="00BC0437" w:rsidP="00621B83">
      <w:pPr>
        <w:tabs>
          <w:tab w:val="left" w:pos="993"/>
          <w:tab w:val="left" w:pos="1755"/>
        </w:tabs>
        <w:spacing w:after="0"/>
        <w:textAlignment w:val="center"/>
      </w:pPr>
      <w:r w:rsidRPr="00621B83">
        <w:t xml:space="preserve">Възраженията се разглеждат от определени от </w:t>
      </w:r>
      <w:r w:rsidR="00C06D35" w:rsidRPr="00621B83">
        <w:t xml:space="preserve">Ръководителя </w:t>
      </w:r>
      <w:r w:rsidRPr="00621B83">
        <w:t>на ПО експерти.</w:t>
      </w:r>
    </w:p>
    <w:p w14:paraId="57F16270" w14:textId="093A21F9" w:rsidR="00BC0437" w:rsidRPr="00621B83" w:rsidRDefault="00BC0437" w:rsidP="00621B83">
      <w:pPr>
        <w:tabs>
          <w:tab w:val="left" w:pos="993"/>
        </w:tabs>
        <w:spacing w:after="0"/>
        <w:textAlignment w:val="center"/>
        <w:rPr>
          <w:rFonts w:eastAsia="Calibri"/>
        </w:rPr>
      </w:pPr>
      <w:r w:rsidRPr="00621B83">
        <w:rPr>
          <w:rFonts w:eastAsia="Calibri"/>
        </w:rPr>
        <w:t xml:space="preserve">При разглеждането на постъпилите възражения и извършване на проверката за тяхната основателност се прилагат критериите за проверка на административното съответствие и допустимостта </w:t>
      </w:r>
      <w:r w:rsidR="00C06D35" w:rsidRPr="00621B83">
        <w:rPr>
          <w:rFonts w:eastAsia="Calibri"/>
        </w:rPr>
        <w:t>по настоящата</w:t>
      </w:r>
      <w:r w:rsidRPr="00621B83">
        <w:rPr>
          <w:rFonts w:eastAsia="Calibri"/>
        </w:rPr>
        <w:t xml:space="preserve"> процедура</w:t>
      </w:r>
      <w:r w:rsidR="00C06D35" w:rsidRPr="00621B83">
        <w:rPr>
          <w:rFonts w:eastAsia="Calibri"/>
        </w:rPr>
        <w:t xml:space="preserve"> за подбор</w:t>
      </w:r>
      <w:r w:rsidRPr="00621B83">
        <w:rPr>
          <w:rFonts w:eastAsia="Calibri"/>
        </w:rPr>
        <w:t xml:space="preserve">. Не могат да бъдат добавяни нови критерии, както и да бъдат изисквани допълнителни документи от </w:t>
      </w:r>
      <w:r w:rsidR="005E0603" w:rsidRPr="00621B83">
        <w:rPr>
          <w:rFonts w:eastAsia="Calibri"/>
        </w:rPr>
        <w:t>Кандидатите</w:t>
      </w:r>
      <w:r w:rsidRPr="00621B83">
        <w:rPr>
          <w:rFonts w:eastAsia="Calibri"/>
        </w:rPr>
        <w:t>.</w:t>
      </w:r>
    </w:p>
    <w:p w14:paraId="625A352F" w14:textId="77777777" w:rsidR="00BC0437" w:rsidRPr="00621B83" w:rsidRDefault="00BC0437" w:rsidP="00621B83">
      <w:pPr>
        <w:tabs>
          <w:tab w:val="left" w:pos="993"/>
        </w:tabs>
        <w:spacing w:after="0"/>
        <w:textAlignment w:val="center"/>
      </w:pPr>
      <w:r w:rsidRPr="00621B83">
        <w:t>Въз основа на писмено становище от експерт ръководителят на ПО взема окончателното решение:</w:t>
      </w:r>
    </w:p>
    <w:p w14:paraId="39B72564" w14:textId="77777777" w:rsidR="00BC0437" w:rsidRPr="00621B83" w:rsidRDefault="00BC0437" w:rsidP="002B1805">
      <w:pPr>
        <w:numPr>
          <w:ilvl w:val="0"/>
          <w:numId w:val="5"/>
        </w:numPr>
      </w:pPr>
      <w:r w:rsidRPr="00621B83">
        <w:lastRenderedPageBreak/>
        <w:t>да остави без разглеждане възражението, или</w:t>
      </w:r>
    </w:p>
    <w:p w14:paraId="42223496" w14:textId="77777777" w:rsidR="00BC0437" w:rsidRPr="00621B83" w:rsidRDefault="00BC0437" w:rsidP="002B1805">
      <w:pPr>
        <w:numPr>
          <w:ilvl w:val="0"/>
          <w:numId w:val="5"/>
        </w:numPr>
      </w:pPr>
      <w:r w:rsidRPr="00621B83">
        <w:t xml:space="preserve">да върне проектното предложение за разглеждане на етап техническа и финансова оценка, когато възражението на </w:t>
      </w:r>
      <w:r w:rsidR="005E0603" w:rsidRPr="00621B83">
        <w:t xml:space="preserve">Кандидата </w:t>
      </w:r>
      <w:r w:rsidRPr="00621B83">
        <w:t>е основателно, или</w:t>
      </w:r>
    </w:p>
    <w:p w14:paraId="35482E5E" w14:textId="77777777" w:rsidR="00BC0437" w:rsidRPr="00621B83" w:rsidRDefault="00BC0437" w:rsidP="002B1805">
      <w:pPr>
        <w:numPr>
          <w:ilvl w:val="0"/>
          <w:numId w:val="5"/>
        </w:numPr>
      </w:pPr>
      <w:r w:rsidRPr="00621B83">
        <w:t>да отхвърли възражението, когато е неоснователно.</w:t>
      </w:r>
    </w:p>
    <w:p w14:paraId="2D2797C1" w14:textId="77777777" w:rsidR="00BC0437" w:rsidRPr="00621B83" w:rsidRDefault="00BC0437" w:rsidP="00621B83">
      <w:pPr>
        <w:tabs>
          <w:tab w:val="left" w:pos="993"/>
        </w:tabs>
        <w:spacing w:after="0"/>
        <w:textAlignment w:val="center"/>
      </w:pPr>
      <w:r w:rsidRPr="00621B83">
        <w:t>Ръководителят на ПО се произнася по възраженията с резолюция върху всяко едно писмено становище.</w:t>
      </w:r>
    </w:p>
    <w:p w14:paraId="62F58527" w14:textId="77777777" w:rsidR="00BC0437" w:rsidRPr="00621B83" w:rsidRDefault="00BC0437" w:rsidP="00621B83">
      <w:pPr>
        <w:tabs>
          <w:tab w:val="left" w:pos="993"/>
        </w:tabs>
        <w:spacing w:after="0"/>
        <w:textAlignment w:val="center"/>
      </w:pPr>
      <w:r w:rsidRPr="00621B83">
        <w:t xml:space="preserve">Разглеждането на възраженията и произнасянето от </w:t>
      </w:r>
      <w:r w:rsidR="00073058" w:rsidRPr="00621B83">
        <w:t xml:space="preserve">Ръководителя </w:t>
      </w:r>
      <w:r w:rsidRPr="00621B83">
        <w:t>на ПО се извършва в едноседмичен срок от изтичане на срока за подаване на възражения.</w:t>
      </w:r>
    </w:p>
    <w:p w14:paraId="0002124C" w14:textId="77777777" w:rsidR="00BC0437" w:rsidRPr="00621B83" w:rsidRDefault="00BC0437" w:rsidP="00621B83">
      <w:pPr>
        <w:tabs>
          <w:tab w:val="left" w:pos="993"/>
        </w:tabs>
        <w:spacing w:after="0"/>
      </w:pPr>
      <w:r w:rsidRPr="00621B83">
        <w:t xml:space="preserve">Възраженията, които са оставени без разглеждане, и възраженията, които са неоснователни, остават част от документацията по процедурата. </w:t>
      </w:r>
    </w:p>
    <w:p w14:paraId="6A849B03" w14:textId="77777777" w:rsidR="00BC0437" w:rsidRPr="00621B83" w:rsidRDefault="00BC0437" w:rsidP="00621B83">
      <w:pPr>
        <w:tabs>
          <w:tab w:val="left" w:pos="993"/>
        </w:tabs>
        <w:spacing w:after="0"/>
      </w:pPr>
      <w:r w:rsidRPr="00621B83">
        <w:t xml:space="preserve">Когато дадено възражение е основателно, се извършва </w:t>
      </w:r>
      <w:r w:rsidR="005E0603" w:rsidRPr="00621B83">
        <w:t>ТФО</w:t>
      </w:r>
      <w:r w:rsidRPr="00621B83">
        <w:t xml:space="preserve"> на проектно предложение.</w:t>
      </w:r>
    </w:p>
    <w:p w14:paraId="7C3BC523" w14:textId="77777777" w:rsidR="00BC0437" w:rsidRPr="00621B83" w:rsidRDefault="00BC0437" w:rsidP="00621B83">
      <w:pPr>
        <w:tabs>
          <w:tab w:val="left" w:pos="993"/>
        </w:tabs>
        <w:spacing w:after="0"/>
        <w:textAlignment w:val="center"/>
      </w:pPr>
      <w:r w:rsidRPr="00621B83">
        <w:t xml:space="preserve">Председателят на ОК уведомява всеки </w:t>
      </w:r>
      <w:r w:rsidR="00073058" w:rsidRPr="00621B83">
        <w:t>Кандидат</w:t>
      </w:r>
      <w:r w:rsidRPr="00621B83">
        <w:t>, подал възражение за резултатите от разглеждането на неговото възражение.</w:t>
      </w:r>
      <w:r w:rsidR="00D7384C" w:rsidRPr="00621B83">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B350B3" w:rsidRPr="00983251" w14:paraId="492CEC6A"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1C06D1DE" w14:textId="77777777" w:rsidR="00B350B3" w:rsidRPr="00621B83" w:rsidRDefault="00B350B3" w:rsidP="00530E08">
            <w:pPr>
              <w:rPr>
                <w:b/>
              </w:rPr>
            </w:pPr>
            <w:r w:rsidRPr="00621B83">
              <w:rPr>
                <w:b/>
              </w:rPr>
              <w:t>ВАЖНО!</w:t>
            </w:r>
          </w:p>
          <w:p w14:paraId="4CADF8C1" w14:textId="77777777" w:rsidR="00B350B3" w:rsidRPr="00621B83" w:rsidRDefault="00B350B3" w:rsidP="00EE5F23">
            <w:pPr>
              <w:rPr>
                <w:b/>
              </w:rPr>
            </w:pPr>
            <w:r w:rsidRPr="00621B83">
              <w:rPr>
                <w:b/>
              </w:rPr>
              <w:t xml:space="preserve">Програмният оператор няма да разглежда повторни и/или допълнителни възражения от </w:t>
            </w:r>
            <w:r w:rsidR="00073058" w:rsidRPr="00621B83">
              <w:rPr>
                <w:b/>
              </w:rPr>
              <w:t>Кандидатите</w:t>
            </w:r>
            <w:r w:rsidRPr="00621B83">
              <w:rPr>
                <w:b/>
              </w:rPr>
              <w:t xml:space="preserve">, включени в списъка на проектните предложения, които не се допускат до </w:t>
            </w:r>
            <w:r w:rsidR="00EE5F23" w:rsidRPr="00621B83">
              <w:rPr>
                <w:b/>
              </w:rPr>
              <w:t>ТФО</w:t>
            </w:r>
            <w:r w:rsidRPr="00621B83">
              <w:rPr>
                <w:b/>
              </w:rPr>
              <w:t xml:space="preserve">, както и изпратени след </w:t>
            </w:r>
            <w:r w:rsidR="001A572B" w:rsidRPr="00621B83">
              <w:rPr>
                <w:b/>
              </w:rPr>
              <w:t xml:space="preserve">определения </w:t>
            </w:r>
            <w:r w:rsidRPr="00621B83">
              <w:rPr>
                <w:b/>
              </w:rPr>
              <w:t>кра</w:t>
            </w:r>
            <w:r w:rsidR="001A572B" w:rsidRPr="00621B83">
              <w:rPr>
                <w:b/>
              </w:rPr>
              <w:t>ен</w:t>
            </w:r>
            <w:r w:rsidRPr="00621B83">
              <w:rPr>
                <w:b/>
              </w:rPr>
              <w:t xml:space="preserve"> срок.</w:t>
            </w:r>
          </w:p>
        </w:tc>
      </w:tr>
    </w:tbl>
    <w:p w14:paraId="5B76725A" w14:textId="77777777" w:rsidR="00B350B3" w:rsidRPr="00621B83" w:rsidRDefault="00B350B3" w:rsidP="00B350B3"/>
    <w:p w14:paraId="6A0DCA59" w14:textId="77777777" w:rsidR="00B350B3" w:rsidRPr="00716C51" w:rsidRDefault="00B350B3" w:rsidP="00C021CC">
      <w:pPr>
        <w:pStyle w:val="Heading2"/>
      </w:pPr>
      <w:bookmarkStart w:id="57" w:name="_Toc24983864"/>
      <w:r w:rsidRPr="00716C51">
        <w:t>ТЕХНИЧЕСКА И ФИНАНСОВА ОЦЕНКА</w:t>
      </w:r>
      <w:bookmarkEnd w:id="57"/>
    </w:p>
    <w:p w14:paraId="2E18A880" w14:textId="77777777" w:rsidR="00E5560F" w:rsidRPr="00DF2A21" w:rsidRDefault="009B230F" w:rsidP="00DF2A21">
      <w:pPr>
        <w:tabs>
          <w:tab w:val="left" w:pos="993"/>
        </w:tabs>
        <w:spacing w:after="0"/>
      </w:pPr>
      <w:r w:rsidRPr="00DF2A21">
        <w:t>Техническата и финансова оценка на проектното предложение (ТФО) е процес на оценка по същество на проектните предложения, която се извършва в съответствие с критериите за оценка, описани в</w:t>
      </w:r>
      <w:r w:rsidR="00E5560F" w:rsidRPr="00DF2A21">
        <w:t xml:space="preserve"> Приложение </w:t>
      </w:r>
      <w:r w:rsidR="00A06379" w:rsidRPr="00DF2A21">
        <w:t>A</w:t>
      </w:r>
      <w:r w:rsidR="00E5560F" w:rsidRPr="00DF2A21">
        <w:t xml:space="preserve"> към</w:t>
      </w:r>
      <w:r w:rsidRPr="00DF2A21">
        <w:t xml:space="preserve"> Насоките за кандидатстване.</w:t>
      </w:r>
      <w:r w:rsidR="00E5560F" w:rsidRPr="00DF2A21">
        <w:t xml:space="preserve"> Критериите за оценка не подлежат на изменение и допълнение по време на провеждането на процедурата.</w:t>
      </w:r>
    </w:p>
    <w:p w14:paraId="03050D1F" w14:textId="1635F5D9" w:rsidR="004A5D61" w:rsidRPr="00DF2A21" w:rsidRDefault="004A5D61" w:rsidP="00DF2A21">
      <w:pPr>
        <w:tabs>
          <w:tab w:val="left" w:pos="993"/>
        </w:tabs>
        <w:spacing w:after="0"/>
      </w:pPr>
      <w:r w:rsidRPr="00DF2A21">
        <w:t xml:space="preserve">Техническата и финансова оценка се извършва само за проектните предложения, които са преминали успешно </w:t>
      </w:r>
      <w:r w:rsidR="00EE5F23" w:rsidRPr="00DF2A21">
        <w:t>ОАСД</w:t>
      </w:r>
      <w:r w:rsidRPr="00DF2A21">
        <w:t>.</w:t>
      </w:r>
      <w:r w:rsidR="005F188B" w:rsidRPr="00DF2A21">
        <w:t xml:space="preserve"> Всяко проектно предложение се оценява от двама независими експерти, определени от </w:t>
      </w:r>
      <w:r w:rsidR="00072263">
        <w:t>ПО</w:t>
      </w:r>
      <w:r w:rsidR="005F188B" w:rsidRPr="00DF2A21">
        <w:t xml:space="preserve">, поне единият от които следва да бъде независим от ПО и от Комитета за подбор. </w:t>
      </w:r>
    </w:p>
    <w:p w14:paraId="73D510D6" w14:textId="418783B5" w:rsidR="00B30F2B" w:rsidRPr="00DF2A21" w:rsidRDefault="00B30F2B" w:rsidP="00DF2A21">
      <w:pPr>
        <w:tabs>
          <w:tab w:val="left" w:pos="993"/>
        </w:tabs>
        <w:spacing w:after="0"/>
      </w:pPr>
      <w:r w:rsidRPr="00DF2A21">
        <w:t xml:space="preserve">Експертите оценяват проектните предложения самостоятелно съгласно критериите посочени в Приложение А. При разлика между двете оценки от повече от 20 на сто от по-високата оценка, председателят на </w:t>
      </w:r>
      <w:r w:rsidR="00180BFB">
        <w:rPr>
          <w:lang w:val="en-US"/>
        </w:rPr>
        <w:t>OK</w:t>
      </w:r>
      <w:r w:rsidRPr="00DF2A21">
        <w:t xml:space="preserve"> възлага оценяването на трети оценител (експерт-арбитър) – независим и безпристрастен от ПО и КПП, който да извърши оценка на проекта. Окончателната оценка е средноаритметично от двете най-близки оценки.</w:t>
      </w:r>
    </w:p>
    <w:p w14:paraId="4FF3D2E3" w14:textId="77777777" w:rsidR="00B81F6E" w:rsidRPr="00DF2A21" w:rsidRDefault="00B81F6E" w:rsidP="00DF2A21">
      <w:pPr>
        <w:tabs>
          <w:tab w:val="left" w:pos="993"/>
        </w:tabs>
        <w:spacing w:after="0"/>
      </w:pPr>
      <w:r w:rsidRPr="00DF2A21">
        <w:t>При кандидатстване по Вариант 1</w:t>
      </w:r>
      <w:r w:rsidR="00DC3430" w:rsidRPr="00DF2A21">
        <w:t xml:space="preserve"> „Пълна проектна готовност“</w:t>
      </w:r>
      <w:r w:rsidRPr="00DF2A21">
        <w:t>,</w:t>
      </w:r>
      <w:r w:rsidR="00DC3430" w:rsidRPr="00DF2A21">
        <w:t xml:space="preserve"> </w:t>
      </w:r>
      <w:r w:rsidR="00350BA2" w:rsidRPr="00DF2A21">
        <w:t xml:space="preserve">на този етап се преценява дали заложените в работния проект технически параметри и инвестиционни разходи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w:t>
      </w:r>
      <w:r w:rsidR="00EE5F23" w:rsidRPr="00DF2A21">
        <w:t xml:space="preserve">Доклада </w:t>
      </w:r>
      <w:r w:rsidR="00350BA2" w:rsidRPr="00DF2A21">
        <w:t xml:space="preserve">от обследването за енергийна ефективност, или водят до по-добри резултати. В случай че с работния проект това условие е изпълнено, оценката се извършва на база показателите от обследването. В случай че условието не е </w:t>
      </w:r>
      <w:r w:rsidR="00350BA2" w:rsidRPr="00DF2A21">
        <w:lastRenderedPageBreak/>
        <w:t>изпълнено,</w:t>
      </w:r>
      <w:r w:rsidRPr="00DF2A21">
        <w:t xml:space="preserve"> проектното предложение не получава точки по критериите за енергийна ефективност (показатели </w:t>
      </w:r>
      <w:r w:rsidR="0044465F" w:rsidRPr="00DF2A21">
        <w:t>5</w:t>
      </w:r>
      <w:r w:rsidRPr="00DF2A21">
        <w:t xml:space="preserve">, </w:t>
      </w:r>
      <w:r w:rsidR="0044465F" w:rsidRPr="00DF2A21">
        <w:t>6</w:t>
      </w:r>
      <w:r w:rsidRPr="00DF2A21">
        <w:t xml:space="preserve"> и </w:t>
      </w:r>
      <w:r w:rsidR="0044465F" w:rsidRPr="00DF2A21">
        <w:t xml:space="preserve">7 </w:t>
      </w:r>
      <w:r w:rsidRPr="00DF2A21">
        <w:t>от таблицата за техническа и финансова оценка).</w:t>
      </w:r>
    </w:p>
    <w:p w14:paraId="57EE23A8" w14:textId="77777777" w:rsidR="00B350B3" w:rsidRPr="00621B83" w:rsidRDefault="00B350B3" w:rsidP="00DF2A21">
      <w:pPr>
        <w:tabs>
          <w:tab w:val="left" w:pos="993"/>
        </w:tabs>
        <w:spacing w:after="0"/>
      </w:pPr>
      <w:r w:rsidRPr="00621B83">
        <w:t xml:space="preserve">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 В случай че в процеса на ТФО </w:t>
      </w:r>
      <w:r w:rsidR="006375D1" w:rsidRPr="00621B83">
        <w:t>оценителите</w:t>
      </w:r>
      <w:r w:rsidRPr="00621B83">
        <w:t xml:space="preserve"> наличието на обстоятелства (напр. включени в проектното предложение недопустими дейности, недопустими и/или нереалистични разходи, дублиране на заложени дейности и/или разходи и др.), това може да доведе до изменение на бюджета на проектното предложение (т. </w:t>
      </w:r>
      <w:r w:rsidR="00C1776B" w:rsidRPr="00621B83">
        <w:t xml:space="preserve">5 </w:t>
      </w:r>
      <w:r w:rsidRPr="00621B83">
        <w:t xml:space="preserve">от Формуляра за кандидатстване). Следва да се има предвид, че промените в бюджета не могат да доведат до увеличаване на размера на БФП. </w:t>
      </w:r>
    </w:p>
    <w:p w14:paraId="65DAD206" w14:textId="0C5DA81E" w:rsidR="00B350B3" w:rsidRPr="00D2351F" w:rsidRDefault="00B350B3" w:rsidP="00505709">
      <w:pPr>
        <w:spacing w:after="0"/>
      </w:pPr>
      <w:r w:rsidRPr="00621B83">
        <w:t xml:space="preserve">Корекции в бюджета при несъответствие между предвидените </w:t>
      </w:r>
      <w:r w:rsidRPr="00D2351F">
        <w:t xml:space="preserve">дейности (т. </w:t>
      </w:r>
      <w:r w:rsidR="00B316C4" w:rsidRPr="00D2351F">
        <w:t xml:space="preserve">7 </w:t>
      </w:r>
      <w:r w:rsidRPr="00D2351F">
        <w:t xml:space="preserve">от Формуляра за кандидатстване) и видовете заложени разходи (т. </w:t>
      </w:r>
      <w:r w:rsidR="00B316C4" w:rsidRPr="00D2351F">
        <w:t xml:space="preserve">5 </w:t>
      </w:r>
      <w:r w:rsidRPr="00D2351F">
        <w:t xml:space="preserve">от Формуляра за кандидатстване), както и при дублиране на разходи, ще се извършва след като се изиска допълнителна пояснителна информация от </w:t>
      </w:r>
      <w:r w:rsidR="00E5560F" w:rsidRPr="00D2351F">
        <w:t>Кандидата</w:t>
      </w:r>
      <w:r w:rsidRPr="00D2351F">
        <w:t>, като срокът за представянето ѝ е пет дни. Извършените корекции на данни в бюджета не могат да водят до увеличаване на размера или на интензитета на БФП,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w:t>
      </w:r>
      <w:r w:rsidR="009004C7" w:rsidRPr="00D2351F">
        <w:t xml:space="preserve"> (не може да води до увеличаване на точките по някой от критериите за оценка)</w:t>
      </w:r>
      <w:r w:rsidRPr="00D2351F">
        <w:t>.</w:t>
      </w:r>
    </w:p>
    <w:p w14:paraId="16B822E6" w14:textId="77777777" w:rsidR="00B350B3" w:rsidRPr="00621B83" w:rsidRDefault="00B350B3" w:rsidP="00505709">
      <w:pPr>
        <w:spacing w:after="0"/>
      </w:pPr>
      <w:r w:rsidRPr="00D2351F">
        <w:t xml:space="preserve">Допълнителна информация може да бъде предоставена само по искане на </w:t>
      </w:r>
      <w:r w:rsidR="00E5560F" w:rsidRPr="00D2351F">
        <w:t>О</w:t>
      </w:r>
      <w:r w:rsidR="00E5560F" w:rsidRPr="00621B83">
        <w:t>К</w:t>
      </w:r>
      <w:r w:rsidRPr="00621B83">
        <w:t xml:space="preserve">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w:t>
      </w:r>
      <w:r w:rsidR="00D02DFC" w:rsidRPr="00621B83">
        <w:t>ще бъде оценено при липсата на съответния документ/информация, като ще получи по-малък брой точки, или съответният заявен в бюджета разход няма да бъде признат</w:t>
      </w:r>
      <w:r w:rsidRPr="00621B83">
        <w:t xml:space="preserve">. Всяка информация, предоставена извън официално изисканата от </w:t>
      </w:r>
      <w:r w:rsidR="00E5560F" w:rsidRPr="00621B83">
        <w:t>ОК</w:t>
      </w:r>
      <w:r w:rsidRPr="00621B83">
        <w:t xml:space="preserve">, няма да бъде вземана под внимание. </w:t>
      </w:r>
    </w:p>
    <w:p w14:paraId="311F888E" w14:textId="77777777" w:rsidR="00DC252E" w:rsidRPr="00DF2A21" w:rsidRDefault="00DC252E" w:rsidP="00DF2A21">
      <w:pPr>
        <w:tabs>
          <w:tab w:val="left" w:pos="993"/>
        </w:tabs>
        <w:spacing w:after="0"/>
      </w:pPr>
      <w:r w:rsidRPr="00DF2A21">
        <w:t xml:space="preserve">Изготвя се предварителен протокол, съдържащ три </w:t>
      </w:r>
      <w:r w:rsidR="00A04F74" w:rsidRPr="00DF2A21">
        <w:t xml:space="preserve">предварителни </w:t>
      </w:r>
      <w:r w:rsidRPr="00DF2A21">
        <w:t xml:space="preserve">списъка: </w:t>
      </w:r>
      <w:r w:rsidR="00D659DC" w:rsidRPr="00DF2A21">
        <w:t xml:space="preserve">списък с </w:t>
      </w:r>
      <w:r w:rsidRPr="00DF2A21">
        <w:t xml:space="preserve">предложени за отхвърляне </w:t>
      </w:r>
      <w:r w:rsidR="00D659DC" w:rsidRPr="00DF2A21">
        <w:t>проект</w:t>
      </w:r>
      <w:r w:rsidR="00122655" w:rsidRPr="00DF2A21">
        <w:t>н</w:t>
      </w:r>
      <w:r w:rsidR="00D659DC" w:rsidRPr="00DF2A21">
        <w:t>и</w:t>
      </w:r>
      <w:r w:rsidR="00122655" w:rsidRPr="00DF2A21">
        <w:t xml:space="preserve"> предложения</w:t>
      </w:r>
      <w:r w:rsidR="00D659DC" w:rsidRPr="00DF2A21">
        <w:t xml:space="preserve"> </w:t>
      </w:r>
      <w:r w:rsidRPr="00DF2A21">
        <w:t xml:space="preserve">и мотиви за отхвърлянето им, </w:t>
      </w:r>
      <w:r w:rsidR="00D659DC" w:rsidRPr="00DF2A21">
        <w:t xml:space="preserve">списък с </w:t>
      </w:r>
      <w:r w:rsidRPr="00DF2A21">
        <w:t>предложени за финансиране</w:t>
      </w:r>
      <w:r w:rsidR="00C53EC3" w:rsidRPr="00DF2A21">
        <w:t xml:space="preserve"> проект</w:t>
      </w:r>
      <w:r w:rsidR="00122655" w:rsidRPr="00DF2A21">
        <w:t>ни предложения</w:t>
      </w:r>
      <w:r w:rsidRPr="00DF2A21">
        <w:t xml:space="preserve"> и с</w:t>
      </w:r>
      <w:r w:rsidR="00C53EC3" w:rsidRPr="00DF2A21">
        <w:t>писък с</w:t>
      </w:r>
      <w:r w:rsidRPr="00DF2A21">
        <w:t xml:space="preserve"> резервни проект</w:t>
      </w:r>
      <w:r w:rsidR="00122655" w:rsidRPr="00DF2A21">
        <w:t>н</w:t>
      </w:r>
      <w:r w:rsidRPr="00DF2A21">
        <w:t>и</w:t>
      </w:r>
      <w:r w:rsidR="00122655" w:rsidRPr="00DF2A21">
        <w:t xml:space="preserve"> предложения</w:t>
      </w:r>
      <w:r w:rsidRPr="00DF2A21">
        <w:t>. В последните два списъка проектите се подреждат по броя на присъдените точки.</w:t>
      </w:r>
    </w:p>
    <w:p w14:paraId="21C66F80" w14:textId="77777777" w:rsidR="00DC252E" w:rsidRPr="00DF2A21" w:rsidRDefault="00746FF4" w:rsidP="00DF2A21">
      <w:pPr>
        <w:tabs>
          <w:tab w:val="left" w:pos="993"/>
        </w:tabs>
        <w:spacing w:after="0"/>
      </w:pPr>
      <w:r w:rsidRPr="00621B83">
        <w:t>На този етап се извършва проверка за липса на двойно финансиране по предложените проекти и проверка за получени държавни и минимални помощи. Проверката се извършва чрез всички достъпни методи, включително, но не само, чрез проверка на информацията в ИСУН 2020, запитвания към други финансиращи институции, проверка в интернет.</w:t>
      </w:r>
      <w:r w:rsidR="00D84887" w:rsidRPr="00DF2A21">
        <w:t xml:space="preserve"> </w:t>
      </w:r>
    </w:p>
    <w:p w14:paraId="54B05904" w14:textId="144CA506" w:rsidR="00A04F74" w:rsidRPr="00621B83" w:rsidRDefault="00DC252E" w:rsidP="00DF2A21">
      <w:pPr>
        <w:tabs>
          <w:tab w:val="left" w:pos="993"/>
        </w:tabs>
        <w:spacing w:after="0"/>
      </w:pPr>
      <w:r w:rsidRPr="00621B83">
        <w:t xml:space="preserve">Когато за определено лице, участващо като </w:t>
      </w:r>
      <w:r w:rsidR="008A5175" w:rsidRPr="00621B83">
        <w:t xml:space="preserve">Партньор </w:t>
      </w:r>
      <w:r w:rsidRPr="00621B83">
        <w:t xml:space="preserve">в повече от един проект, </w:t>
      </w:r>
      <w:r w:rsidR="00F3429F" w:rsidRPr="00621B83">
        <w:t>се установи надвишаване на максималните</w:t>
      </w:r>
      <w:r w:rsidR="00D84887" w:rsidRPr="00621B83">
        <w:t xml:space="preserve"> прагове за натрупване на минимална помощ</w:t>
      </w:r>
      <w:r w:rsidR="00F3429F" w:rsidRPr="00621B83">
        <w:t xml:space="preserve">, участието на съответния </w:t>
      </w:r>
      <w:r w:rsidR="008A5175" w:rsidRPr="00621B83">
        <w:t xml:space="preserve">Партньор </w:t>
      </w:r>
      <w:r w:rsidR="00F3429F" w:rsidRPr="00621B83">
        <w:t xml:space="preserve">се редуцира </w:t>
      </w:r>
      <w:r w:rsidR="00A04F74" w:rsidRPr="00621B83">
        <w:t xml:space="preserve">до определен брой проекти, така че да не надвишава съответния максимален праг за натрупване. Редуцирането се извършва при последователно отпадане </w:t>
      </w:r>
      <w:r w:rsidR="004621C9">
        <w:t xml:space="preserve">на </w:t>
      </w:r>
      <w:r w:rsidR="003622B7">
        <w:t>П</w:t>
      </w:r>
      <w:r w:rsidR="004621C9">
        <w:t xml:space="preserve">артньора </w:t>
      </w:r>
      <w:r w:rsidR="00A04F74" w:rsidRPr="00621B83">
        <w:t xml:space="preserve">от един или повече проекти, </w:t>
      </w:r>
      <w:r w:rsidR="00B316C4">
        <w:t xml:space="preserve">които са </w:t>
      </w:r>
      <w:r w:rsidR="00780179">
        <w:t xml:space="preserve">оценени на етап </w:t>
      </w:r>
      <w:r w:rsidR="00533EC2">
        <w:t>ТФО</w:t>
      </w:r>
      <w:r w:rsidR="00780179">
        <w:t xml:space="preserve"> и не са отхвърлени</w:t>
      </w:r>
      <w:r w:rsidR="00B316C4">
        <w:t>,</w:t>
      </w:r>
      <w:r w:rsidR="00780179">
        <w:t xml:space="preserve"> като се започва</w:t>
      </w:r>
      <w:r w:rsidR="00A04F74" w:rsidRPr="00621B83">
        <w:t xml:space="preserve"> от проекта с най-малко присъдени точки във възходящ ред.</w:t>
      </w:r>
    </w:p>
    <w:p w14:paraId="0C53CE4A" w14:textId="5B63A2A2" w:rsidR="00A04F74" w:rsidRPr="00621B83" w:rsidRDefault="00F3429F" w:rsidP="00DF2A21">
      <w:pPr>
        <w:tabs>
          <w:tab w:val="left" w:pos="993"/>
        </w:tabs>
        <w:spacing w:after="0"/>
      </w:pPr>
      <w:r w:rsidRPr="00621B83">
        <w:t>Проектн</w:t>
      </w:r>
      <w:r w:rsidR="00976D7E" w:rsidRPr="00621B83">
        <w:t>ото</w:t>
      </w:r>
      <w:r w:rsidRPr="00621B83">
        <w:t xml:space="preserve"> предложени</w:t>
      </w:r>
      <w:r w:rsidR="00976D7E" w:rsidRPr="00621B83">
        <w:t>е</w:t>
      </w:r>
      <w:r w:rsidRPr="00621B83">
        <w:t>, от ко</w:t>
      </w:r>
      <w:r w:rsidR="00976D7E" w:rsidRPr="00621B83">
        <w:t>е</w:t>
      </w:r>
      <w:r w:rsidRPr="00621B83">
        <w:t xml:space="preserve">то </w:t>
      </w:r>
      <w:r w:rsidR="00A04F74" w:rsidRPr="00621B83">
        <w:t>е</w:t>
      </w:r>
      <w:r w:rsidRPr="00621B83">
        <w:t xml:space="preserve"> отстранен </w:t>
      </w:r>
      <w:r w:rsidR="008A5175" w:rsidRPr="00621B83">
        <w:t>П</w:t>
      </w:r>
      <w:r w:rsidRPr="00621B83">
        <w:t xml:space="preserve">артньор, </w:t>
      </w:r>
      <w:r w:rsidR="00A04F74" w:rsidRPr="00621B83">
        <w:t xml:space="preserve">се връща </w:t>
      </w:r>
      <w:r w:rsidR="00CA6EA7">
        <w:t xml:space="preserve">за </w:t>
      </w:r>
      <w:r w:rsidR="00803DD6" w:rsidRPr="00621B83">
        <w:t xml:space="preserve">повторно извършване на </w:t>
      </w:r>
      <w:r w:rsidR="00EE5F23" w:rsidRPr="00621B83">
        <w:t>ТФО</w:t>
      </w:r>
      <w:r w:rsidR="00CA6EA7">
        <w:t xml:space="preserve">, като преоценката </w:t>
      </w:r>
      <w:r w:rsidR="00CA6EA7" w:rsidRPr="00DF2A21">
        <w:t>не може да води до увеличаване на точките по някой от критериите за оценка</w:t>
      </w:r>
      <w:r w:rsidR="00A04F74" w:rsidRPr="00621B83">
        <w:t>.</w:t>
      </w:r>
    </w:p>
    <w:p w14:paraId="061DAC93" w14:textId="77777777" w:rsidR="00A04F74" w:rsidRPr="00621B83" w:rsidRDefault="00A04F74" w:rsidP="00DF2A21">
      <w:pPr>
        <w:tabs>
          <w:tab w:val="left" w:pos="993"/>
        </w:tabs>
        <w:spacing w:after="0"/>
      </w:pPr>
      <w:r w:rsidRPr="00621B83">
        <w:t xml:space="preserve">В резултат на описаното преоценяване са възможни размествания в </w:t>
      </w:r>
      <w:r w:rsidR="00F97173" w:rsidRPr="00621B83">
        <w:t xml:space="preserve">трите предварителни списъка </w:t>
      </w:r>
      <w:r w:rsidRPr="00621B83">
        <w:t xml:space="preserve">с проекти. </w:t>
      </w:r>
    </w:p>
    <w:p w14:paraId="3B724604" w14:textId="77777777" w:rsidR="00A06192" w:rsidRPr="00621B83" w:rsidRDefault="00A06192" w:rsidP="00DF2A21">
      <w:pPr>
        <w:tabs>
          <w:tab w:val="left" w:pos="993"/>
        </w:tabs>
        <w:spacing w:after="0"/>
      </w:pPr>
      <w:r w:rsidRPr="00621B83">
        <w:lastRenderedPageBreak/>
        <w:t xml:space="preserve">Етапът приключва с протокол, съдържащ три списъка с проекти: </w:t>
      </w:r>
      <w:r w:rsidR="00A32381" w:rsidRPr="00621B83">
        <w:t xml:space="preserve">списък с </w:t>
      </w:r>
      <w:r w:rsidRPr="00621B83">
        <w:t>предложени за финансиране</w:t>
      </w:r>
      <w:r w:rsidR="00122655" w:rsidRPr="00621B83">
        <w:t xml:space="preserve"> проектни предложения</w:t>
      </w:r>
      <w:r w:rsidRPr="00621B83">
        <w:t xml:space="preserve">, предложени за отхвърляне </w:t>
      </w:r>
      <w:r w:rsidR="00122655" w:rsidRPr="00621B83">
        <w:t xml:space="preserve">проектни предложения </w:t>
      </w:r>
      <w:r w:rsidRPr="00621B83">
        <w:t xml:space="preserve">и мотиви за отхвърлянето им, и списък с резервни </w:t>
      </w:r>
      <w:r w:rsidR="00122655" w:rsidRPr="00621B83">
        <w:t>проектни предложения</w:t>
      </w:r>
      <w:r w:rsidRPr="00621B83">
        <w:t xml:space="preserve">. </w:t>
      </w:r>
    </w:p>
    <w:p w14:paraId="29F4CD4A" w14:textId="77777777" w:rsidR="00B350B3" w:rsidRPr="00621B83" w:rsidRDefault="00B350B3" w:rsidP="00DF2A21">
      <w:pPr>
        <w:tabs>
          <w:tab w:val="left" w:pos="993"/>
        </w:tabs>
        <w:spacing w:after="0"/>
      </w:pPr>
      <w:r w:rsidRPr="00621B83">
        <w:t>Техническият процес</w:t>
      </w:r>
      <w:r w:rsidR="00126E39" w:rsidRPr="00621B83">
        <w:t>,</w:t>
      </w:r>
      <w:r w:rsidRPr="00621B83">
        <w:t xml:space="preserve"> свързан с представянето на допълнителна информация/документи е описан в Ръководството за потребителя за модул “Е-кандидатстване” </w:t>
      </w:r>
      <w:r w:rsidR="00583E2B" w:rsidRPr="00621B83">
        <w:t xml:space="preserve">в ИСУН 2020 (от </w:t>
      </w:r>
      <w:r w:rsidR="00BC0786" w:rsidRPr="00621B83">
        <w:t xml:space="preserve">10 юни 2019 </w:t>
      </w:r>
      <w:r w:rsidR="00583E2B" w:rsidRPr="00621B83">
        <w:t>г.)</w:t>
      </w:r>
      <w:r w:rsidRPr="00621B83">
        <w:t xml:space="preserve">.  </w:t>
      </w:r>
    </w:p>
    <w:p w14:paraId="2F744E73" w14:textId="77777777" w:rsidR="00B350B3" w:rsidRPr="00716C51" w:rsidRDefault="00B350B3" w:rsidP="00C021CC">
      <w:pPr>
        <w:pStyle w:val="Heading2"/>
      </w:pPr>
      <w:bookmarkStart w:id="58" w:name="_Toc24983865"/>
      <w:r w:rsidRPr="00716C51">
        <w:t>ПОДБОР НА ПРОЕКТИ</w:t>
      </w:r>
      <w:bookmarkEnd w:id="58"/>
    </w:p>
    <w:p w14:paraId="1BF25EF5" w14:textId="77777777" w:rsidR="004378BB" w:rsidRPr="00621B83" w:rsidRDefault="004378BB" w:rsidP="002B1805">
      <w:r w:rsidRPr="00621B83">
        <w:t xml:space="preserve">Програмният оператор създава Комитет за подбор на проекти (КПП). </w:t>
      </w:r>
      <w:r w:rsidR="002B1805" w:rsidRPr="00621B83">
        <w:t>Комитет</w:t>
      </w:r>
      <w:r w:rsidR="006D7717">
        <w:t>ът</w:t>
      </w:r>
      <w:r w:rsidR="002B1805" w:rsidRPr="00621B83">
        <w:t xml:space="preserve"> за подбор на проекти </w:t>
      </w:r>
      <w:r w:rsidRPr="00621B83">
        <w:t xml:space="preserve">разглежда протокола от етапа на ТФО и приложените към него списъци с проекти за целесъобразност на </w:t>
      </w:r>
      <w:r w:rsidR="00EE5F23" w:rsidRPr="00621B83">
        <w:t>П</w:t>
      </w:r>
      <w:r w:rsidRPr="00621B83">
        <w:t xml:space="preserve">артньорите и проектите. </w:t>
      </w:r>
    </w:p>
    <w:p w14:paraId="3C3193ED" w14:textId="77777777" w:rsidR="004378BB" w:rsidRPr="00621B83" w:rsidRDefault="004378BB" w:rsidP="002B1805">
      <w:r w:rsidRPr="00621B83">
        <w:t xml:space="preserve">Комитетът за подбор </w:t>
      </w:r>
      <w:r w:rsidR="006375D1" w:rsidRPr="00621B83">
        <w:t xml:space="preserve">се състои от поне пет членове с право на глас и </w:t>
      </w:r>
      <w:r w:rsidRPr="00621B83">
        <w:t xml:space="preserve">включва представители на </w:t>
      </w:r>
      <w:r w:rsidR="002B1805" w:rsidRPr="00621B83">
        <w:t>ПО</w:t>
      </w:r>
      <w:r w:rsidRPr="00621B83">
        <w:t xml:space="preserve"> и на </w:t>
      </w:r>
      <w:r w:rsidR="002B1805" w:rsidRPr="00621B83">
        <w:t>П</w:t>
      </w:r>
      <w:r w:rsidRPr="00621B83">
        <w:t>артньорите от страните-донори – NVE и OS и поне един член</w:t>
      </w:r>
      <w:r w:rsidR="00C917ED" w:rsidRPr="00621B83">
        <w:t xml:space="preserve"> с право на глас, който е </w:t>
      </w:r>
      <w:r w:rsidRPr="00621B83">
        <w:t xml:space="preserve">външен за ПО и за </w:t>
      </w:r>
      <w:r w:rsidR="002B1805" w:rsidRPr="00621B83">
        <w:t>Партньорите</w:t>
      </w:r>
      <w:r w:rsidRPr="00621B83">
        <w:t xml:space="preserve">. </w:t>
      </w:r>
      <w:r w:rsidR="006375D1" w:rsidRPr="00621B83">
        <w:t xml:space="preserve">Представителите на ПО от една страна и на партньорите от друга следва да бъдат равен брой. </w:t>
      </w:r>
      <w:r w:rsidRPr="00621B83">
        <w:t xml:space="preserve">Представители на НКЗ и КФМ се канят на срещите на КПП като наблюдатели. </w:t>
      </w:r>
    </w:p>
    <w:p w14:paraId="5504CA68" w14:textId="77777777" w:rsidR="00C917ED" w:rsidRPr="00621B83" w:rsidRDefault="004378BB" w:rsidP="002B1805">
      <w:r w:rsidRPr="00621B83">
        <w:t xml:space="preserve">На членовете на КПП се предоставя списъка на класираните проекти, в който са посочени и точките им. </w:t>
      </w:r>
    </w:p>
    <w:p w14:paraId="33D5D36B" w14:textId="77777777" w:rsidR="004378BB" w:rsidRPr="00621B83" w:rsidRDefault="004378BB" w:rsidP="003C4D0E">
      <w:r w:rsidRPr="00621B83">
        <w:t xml:space="preserve">Комитетът има право да вземе решение за промяна на класирането на проектите с единодушие на членовете с право на глас в обосновани случаи, в съответствие с обективни и общоприети критерии, свързани с целите на Програмата. Обосновката за промяната на класирането се описва подробно в протокол от срещата на </w:t>
      </w:r>
      <w:r w:rsidR="002B1805" w:rsidRPr="00621B83">
        <w:t>КПП</w:t>
      </w:r>
      <w:r w:rsidRPr="00621B83">
        <w:t xml:space="preserve">. В протокола от срещата на КПП следва да има най-малко следното: </w:t>
      </w:r>
    </w:p>
    <w:p w14:paraId="2D1C8F55" w14:textId="77777777" w:rsidR="004378BB" w:rsidRPr="00621B83" w:rsidRDefault="004378BB" w:rsidP="00844A8C">
      <w:pPr>
        <w:numPr>
          <w:ilvl w:val="0"/>
          <w:numId w:val="5"/>
        </w:numPr>
      </w:pPr>
      <w:r w:rsidRPr="00621B83">
        <w:t xml:space="preserve">Списък </w:t>
      </w:r>
      <w:r w:rsidR="00C93473" w:rsidRPr="00621B83">
        <w:t xml:space="preserve">с </w:t>
      </w:r>
      <w:r w:rsidRPr="00621B83">
        <w:t>предложените за финансиране проектни предложения по реда на тяхното класиране и размер на предоставената БФП;</w:t>
      </w:r>
    </w:p>
    <w:p w14:paraId="3BB37317" w14:textId="77777777" w:rsidR="004378BB" w:rsidRPr="00621B83" w:rsidRDefault="004378BB" w:rsidP="00844A8C">
      <w:pPr>
        <w:numPr>
          <w:ilvl w:val="0"/>
          <w:numId w:val="5"/>
        </w:numPr>
      </w:pPr>
      <w:r w:rsidRPr="00621B83">
        <w:t>Списък с резервни проектни предложения;</w:t>
      </w:r>
    </w:p>
    <w:p w14:paraId="6E531092" w14:textId="77777777" w:rsidR="004378BB" w:rsidRPr="00621B83" w:rsidRDefault="004378BB" w:rsidP="00844A8C">
      <w:pPr>
        <w:numPr>
          <w:ilvl w:val="0"/>
          <w:numId w:val="5"/>
        </w:numPr>
      </w:pPr>
      <w:r w:rsidRPr="00621B83">
        <w:t>Списък на отхвърлените проектни предложения и мотиви за отхвърлянето им;</w:t>
      </w:r>
    </w:p>
    <w:p w14:paraId="03AF9B5E" w14:textId="77777777" w:rsidR="004378BB" w:rsidRPr="00621B83" w:rsidRDefault="004378BB" w:rsidP="00844A8C">
      <w:pPr>
        <w:numPr>
          <w:ilvl w:val="0"/>
          <w:numId w:val="5"/>
        </w:numPr>
      </w:pPr>
      <w:r w:rsidRPr="00621B83">
        <w:t>Списък на оттеглените проектни предложения по време на оценителния процес (ако е приложимо);</w:t>
      </w:r>
    </w:p>
    <w:p w14:paraId="02E80F0A" w14:textId="77777777" w:rsidR="004378BB" w:rsidRPr="00621B83" w:rsidRDefault="004378BB" w:rsidP="00844A8C">
      <w:pPr>
        <w:numPr>
          <w:ilvl w:val="0"/>
          <w:numId w:val="5"/>
        </w:numPr>
      </w:pPr>
      <w:r w:rsidRPr="00621B83">
        <w:t>Мотиви и обосновка за промяна в класирането на проектните предложения (ако е приложимо).</w:t>
      </w:r>
    </w:p>
    <w:p w14:paraId="1B95945A" w14:textId="77777777" w:rsidR="004378BB" w:rsidRPr="00621B83" w:rsidRDefault="004B6A68" w:rsidP="003C4D0E">
      <w:r w:rsidRPr="00621B83">
        <w:t xml:space="preserve">След приключване на работата на КПП, на </w:t>
      </w:r>
      <w:r w:rsidR="004378BB" w:rsidRPr="00621B83">
        <w:t>Ръководителя на ПО</w:t>
      </w:r>
      <w:r w:rsidRPr="00621B83">
        <w:t xml:space="preserve"> се</w:t>
      </w:r>
      <w:r w:rsidR="004378BB" w:rsidRPr="00621B83">
        <w:t xml:space="preserve"> </w:t>
      </w:r>
      <w:r w:rsidRPr="00621B83">
        <w:t xml:space="preserve">представя </w:t>
      </w:r>
      <w:r w:rsidR="004378BB" w:rsidRPr="00621B83">
        <w:t xml:space="preserve">доклад от проведената процедура по подбор, който съдържа – протоколите от ОАСД, ТФО, протокол от заседанието на КПП, както и приложенията към тях. </w:t>
      </w:r>
    </w:p>
    <w:p w14:paraId="5469107F" w14:textId="77777777" w:rsidR="004378BB" w:rsidRPr="00621B83" w:rsidRDefault="004378BB" w:rsidP="003C4D0E">
      <w:r w:rsidRPr="00621B83">
        <w:t xml:space="preserve">Ръководителят на ПО прави проверка дали процесът на подбор е проведен в съответствие с Регламента и съответстващата законодателна рамка, както и дали решението за предложение за финансиране на </w:t>
      </w:r>
      <w:r w:rsidR="007E3D9D" w:rsidRPr="00621B83">
        <w:t>КПП</w:t>
      </w:r>
      <w:r w:rsidRPr="00621B83">
        <w:t xml:space="preserve"> е в съответствие с правилата и целите на Програмата. След тази проверка Ръководителят на ПО, въз основа на Решението на КПП, взема окончателното решение за финансиране на проекти.</w:t>
      </w:r>
    </w:p>
    <w:p w14:paraId="5DAAB3C6" w14:textId="77777777" w:rsidR="004378BB" w:rsidRPr="00621B83" w:rsidRDefault="004378BB" w:rsidP="002B1805">
      <w:r w:rsidRPr="00621B83">
        <w:t>Ръководителят на ПО може да:</w:t>
      </w:r>
    </w:p>
    <w:p w14:paraId="78BF9263" w14:textId="77777777" w:rsidR="004378BB" w:rsidRPr="00621B83" w:rsidRDefault="004378BB" w:rsidP="00844A8C">
      <w:pPr>
        <w:numPr>
          <w:ilvl w:val="0"/>
          <w:numId w:val="5"/>
        </w:numPr>
      </w:pPr>
      <w:r w:rsidRPr="00621B83">
        <w:t>Одобри доклада, представен от председателя на КПП;</w:t>
      </w:r>
    </w:p>
    <w:p w14:paraId="685FC989" w14:textId="77777777" w:rsidR="004378BB" w:rsidRPr="00621B83" w:rsidRDefault="004378BB" w:rsidP="00844A8C">
      <w:pPr>
        <w:numPr>
          <w:ilvl w:val="0"/>
          <w:numId w:val="5"/>
        </w:numPr>
      </w:pPr>
      <w:r w:rsidRPr="00621B83">
        <w:lastRenderedPageBreak/>
        <w:t>Да върне доклада на КПП, като поиска повторение на процеса на подбор, в случай на нарушение на процедурата, ако то може да бъде отстранено;</w:t>
      </w:r>
    </w:p>
    <w:p w14:paraId="3DC38A6D" w14:textId="77777777" w:rsidR="004378BB" w:rsidRPr="00621B83" w:rsidRDefault="004378BB" w:rsidP="00844A8C">
      <w:pPr>
        <w:numPr>
          <w:ilvl w:val="0"/>
          <w:numId w:val="5"/>
        </w:numPr>
      </w:pPr>
      <w:r w:rsidRPr="00621B83">
        <w:t xml:space="preserve">Да не одобри доклада, когато се констатира сериозно нарушение на процедурата. </w:t>
      </w:r>
    </w:p>
    <w:p w14:paraId="11A24287" w14:textId="77777777" w:rsidR="004378BB" w:rsidRPr="00621B83" w:rsidRDefault="004378BB" w:rsidP="00844A8C">
      <w:pPr>
        <w:numPr>
          <w:ilvl w:val="0"/>
          <w:numId w:val="5"/>
        </w:numPr>
      </w:pPr>
      <w:r w:rsidRPr="00621B83">
        <w:t xml:space="preserve">Ръководителят на ПО може да </w:t>
      </w:r>
      <w:r w:rsidR="004B6A68" w:rsidRPr="00621B83">
        <w:t>промени</w:t>
      </w:r>
      <w:r w:rsidRPr="00621B83">
        <w:t xml:space="preserve"> решението на КПП в обосновани случаи, като оповестява в решението си мотивите за </w:t>
      </w:r>
      <w:r w:rsidR="004B6A68" w:rsidRPr="00621B83">
        <w:t>промяната</w:t>
      </w:r>
      <w:r w:rsidRPr="00621B83">
        <w:t>.</w:t>
      </w:r>
    </w:p>
    <w:p w14:paraId="18DF0119" w14:textId="77777777" w:rsidR="004B6A68" w:rsidRPr="00621B83" w:rsidRDefault="004378BB" w:rsidP="00DF2A21">
      <w:r w:rsidRPr="00621B83">
        <w:t xml:space="preserve">Ръководителят на ПО издава решение за предоставяне на БФП на одобрените проекти и мотивиран отказ за финансиране на неодобрените проекти. </w:t>
      </w:r>
    </w:p>
    <w:p w14:paraId="3E39DD92" w14:textId="77777777" w:rsidR="00B350B3" w:rsidRPr="00716C51" w:rsidRDefault="004378BB" w:rsidP="0066530B">
      <w:r w:rsidRPr="00621B83">
        <w:t xml:space="preserve">Програмният оператор предоставя на КФМ списък на проектите, избрани за финансиране не по-късно от 2 седмици след решението за отпускане на </w:t>
      </w:r>
      <w:r w:rsidR="00CE2833" w:rsidRPr="00621B83">
        <w:t>БФП</w:t>
      </w:r>
      <w:r w:rsidRPr="00621B83">
        <w:t>.</w:t>
      </w:r>
    </w:p>
    <w:p w14:paraId="4CF5FA70" w14:textId="77777777" w:rsidR="00AF3452" w:rsidRPr="00621B83" w:rsidRDefault="00F43BE7" w:rsidP="00F43BE7">
      <w:pPr>
        <w:pStyle w:val="Heading1"/>
      </w:pPr>
      <w:bookmarkStart w:id="59" w:name="_Toc24983866"/>
      <w:r w:rsidRPr="00621B83">
        <w:t>ПРОЦЕДУРА ЗА УВЕДОМЯВАНЕ НА НЕУСПЕЛИТЕ И ОДОБРЕНИТЕ КАНДИДАТИ И СКЛЮЧВАНЕ НА ДОГОВОРИ ЗА БЕЗВЪЗМЕЗДНА ФИНАНСОВА ПОМОЩ</w:t>
      </w:r>
      <w:bookmarkEnd w:id="59"/>
    </w:p>
    <w:p w14:paraId="139570B5" w14:textId="77777777" w:rsidR="006A7625" w:rsidRPr="00621B83" w:rsidRDefault="006A7625" w:rsidP="003C4D0E">
      <w:r w:rsidRPr="00621B83">
        <w:t>П</w:t>
      </w:r>
      <w:r w:rsidR="0013219A" w:rsidRPr="00621B83">
        <w:t>рограмният оператор</w:t>
      </w:r>
      <w:r w:rsidRPr="00621B83">
        <w:t xml:space="preserve"> уведомява </w:t>
      </w:r>
      <w:r w:rsidR="0013219A" w:rsidRPr="00621B83">
        <w:t>К</w:t>
      </w:r>
      <w:r w:rsidRPr="00621B83">
        <w:t>андидатите за резултатите от процеса на оценка и подбор в разумен срок и ги публикува на националния портал на ФМ на ЕИП</w:t>
      </w:r>
      <w:r w:rsidR="006375D1" w:rsidRPr="00621B83">
        <w:t xml:space="preserve"> </w:t>
      </w:r>
      <w:r w:rsidR="006375D1" w:rsidRPr="00621B83">
        <w:rPr>
          <w:lang w:val="en-GB"/>
        </w:rPr>
        <w:t>(www.eeagrants.bg)</w:t>
      </w:r>
      <w:r w:rsidRPr="00621B83">
        <w:t>. Кандидатите могат да поискат допълнителни пояснения относно причините за класирането им. Решението може да бъде обжалвано пред съда по реда на Административнопроцесуалния кодекс.</w:t>
      </w:r>
    </w:p>
    <w:p w14:paraId="6711974F" w14:textId="77777777" w:rsidR="0048394C" w:rsidRPr="00621B83" w:rsidRDefault="0048394C" w:rsidP="002D2895">
      <w:r w:rsidRPr="00621B83">
        <w:t xml:space="preserve">До всеки одобрен </w:t>
      </w:r>
      <w:r w:rsidR="0013219A" w:rsidRPr="00621B83">
        <w:t xml:space="preserve">Кандидат </w:t>
      </w:r>
      <w:r w:rsidRPr="00621B83">
        <w:t xml:space="preserve">се изпраща уведомително писмо, подписано от </w:t>
      </w:r>
      <w:r w:rsidR="00934ADF" w:rsidRPr="00621B83">
        <w:t xml:space="preserve">Ръководителя </w:t>
      </w:r>
      <w:r w:rsidRPr="00621B83">
        <w:t>на ПО или упълномощено от него лице, с указания за необходимите документи, срока и начина на тяхното предоставяне. В писмото се посочва най-малко следната информация:</w:t>
      </w:r>
    </w:p>
    <w:p w14:paraId="28E69D73" w14:textId="77777777" w:rsidR="0048394C" w:rsidRPr="00621B83" w:rsidRDefault="0048394C" w:rsidP="00844A8C">
      <w:pPr>
        <w:numPr>
          <w:ilvl w:val="0"/>
          <w:numId w:val="5"/>
        </w:numPr>
      </w:pPr>
      <w:r w:rsidRPr="00621B83">
        <w:t xml:space="preserve">окончателният размер на </w:t>
      </w:r>
      <w:r w:rsidR="007C34DD" w:rsidRPr="00621B83">
        <w:t>БФП</w:t>
      </w:r>
      <w:r w:rsidRPr="00621B83">
        <w:t xml:space="preserve"> на проекта;</w:t>
      </w:r>
    </w:p>
    <w:p w14:paraId="3232FFE6" w14:textId="77777777" w:rsidR="0048394C" w:rsidRPr="00621B83" w:rsidRDefault="0048394C" w:rsidP="00844A8C">
      <w:pPr>
        <w:numPr>
          <w:ilvl w:val="0"/>
          <w:numId w:val="5"/>
        </w:numPr>
      </w:pPr>
      <w:r w:rsidRPr="00621B83">
        <w:t>промените в бюджета, които са извършени от ОК (ако е приложимо);</w:t>
      </w:r>
    </w:p>
    <w:p w14:paraId="698FDA17" w14:textId="77777777" w:rsidR="0048394C" w:rsidRPr="00621B83" w:rsidRDefault="0048394C" w:rsidP="00844A8C">
      <w:pPr>
        <w:numPr>
          <w:ilvl w:val="0"/>
          <w:numId w:val="5"/>
        </w:numPr>
      </w:pPr>
      <w:r w:rsidRPr="00621B83">
        <w:t xml:space="preserve">документите, които </w:t>
      </w:r>
      <w:r w:rsidR="0013219A" w:rsidRPr="00621B83">
        <w:t xml:space="preserve">Кандидатът </w:t>
      </w:r>
      <w:r w:rsidRPr="00621B83">
        <w:t>трябва да представи, както и необходимият брой екземпляри;</w:t>
      </w:r>
    </w:p>
    <w:p w14:paraId="4EAEA5C2" w14:textId="77777777" w:rsidR="0048394C" w:rsidRPr="00621B83" w:rsidRDefault="0048394C" w:rsidP="00844A8C">
      <w:pPr>
        <w:numPr>
          <w:ilvl w:val="0"/>
          <w:numId w:val="5"/>
        </w:numPr>
      </w:pPr>
      <w:r w:rsidRPr="00621B83">
        <w:t xml:space="preserve">срокът, в който </w:t>
      </w:r>
      <w:r w:rsidR="0013219A" w:rsidRPr="00621B83">
        <w:t xml:space="preserve">Кандидатът </w:t>
      </w:r>
      <w:r w:rsidRPr="00621B83">
        <w:t>трябва да предостави посочените документи.</w:t>
      </w:r>
    </w:p>
    <w:p w14:paraId="1D19D18E" w14:textId="77777777" w:rsidR="004F3EE3" w:rsidRPr="00621B83" w:rsidRDefault="0048394C" w:rsidP="00005F6A">
      <w:r w:rsidRPr="00621B83">
        <w:t>Срокът за представяне на документите не може да бъде по-кратък от 5 работни дни.</w:t>
      </w:r>
      <w:r w:rsidR="00005F6A" w:rsidRPr="00621B83">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5A5011" w:rsidRPr="00983251" w14:paraId="679EC4FA"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0288F268" w14:textId="77777777" w:rsidR="005A5011" w:rsidRPr="00621B83" w:rsidRDefault="005A5011" w:rsidP="00BC0786">
            <w:pPr>
              <w:keepNext/>
              <w:rPr>
                <w:b/>
              </w:rPr>
            </w:pPr>
            <w:r w:rsidRPr="00621B83">
              <w:rPr>
                <w:b/>
              </w:rPr>
              <w:t>ВАЖНО!</w:t>
            </w:r>
          </w:p>
          <w:p w14:paraId="5AC82DA3" w14:textId="77777777" w:rsidR="00FE0F7F" w:rsidRPr="00621B83" w:rsidRDefault="00140183" w:rsidP="005A5011">
            <w:pPr>
              <w:rPr>
                <w:b/>
              </w:rPr>
            </w:pPr>
            <w:r w:rsidRPr="00621B83">
              <w:rPr>
                <w:b/>
              </w:rPr>
              <w:t xml:space="preserve">За сключването на договор за предоставяне на БФП </w:t>
            </w:r>
            <w:r w:rsidR="0013219A" w:rsidRPr="00621B83">
              <w:rPr>
                <w:b/>
              </w:rPr>
              <w:t xml:space="preserve">Кандидатът </w:t>
            </w:r>
            <w:r w:rsidR="00AA6AD4" w:rsidRPr="00621B83">
              <w:rPr>
                <w:b/>
              </w:rPr>
              <w:t>следва да представи</w:t>
            </w:r>
            <w:r w:rsidR="00FE0F7F" w:rsidRPr="00621B83">
              <w:rPr>
                <w:b/>
              </w:rPr>
              <w:t>:</w:t>
            </w:r>
          </w:p>
          <w:p w14:paraId="4C8BA65A" w14:textId="77777777" w:rsidR="005A5011" w:rsidRPr="00DF2A21" w:rsidRDefault="00FE0F7F" w:rsidP="005A5011">
            <w:pPr>
              <w:rPr>
                <w:b/>
                <w:lang w:val="en-US"/>
              </w:rPr>
            </w:pPr>
            <w:r w:rsidRPr="00621B83">
              <w:rPr>
                <w:b/>
              </w:rPr>
              <w:t xml:space="preserve">- </w:t>
            </w:r>
            <w:r w:rsidR="005A5011" w:rsidRPr="00621B83">
              <w:rPr>
                <w:b/>
              </w:rPr>
              <w:t>документи, издадени от съответните компетентни органи – за обстоятелствата, за които такива документи се издават, или заверени копия от тях</w:t>
            </w:r>
            <w:r w:rsidR="00005F6A" w:rsidRPr="00621B83">
              <w:rPr>
                <w:b/>
              </w:rPr>
              <w:t xml:space="preserve"> (в случаите, когато информацията не може да бъде проверена по служебен път);</w:t>
            </w:r>
          </w:p>
          <w:p w14:paraId="247996E6" w14:textId="77777777" w:rsidR="005A5011" w:rsidRPr="00621B83" w:rsidRDefault="005A5011" w:rsidP="00AE1734">
            <w:pPr>
              <w:rPr>
                <w:b/>
              </w:rPr>
            </w:pPr>
            <w:r w:rsidRPr="00621B83">
              <w:rPr>
                <w:b/>
              </w:rPr>
              <w:t>-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tc>
      </w:tr>
    </w:tbl>
    <w:p w14:paraId="50F79957" w14:textId="77777777" w:rsidR="004F3EE3" w:rsidRPr="00621B83" w:rsidRDefault="004F3EE3" w:rsidP="00865537">
      <w:r w:rsidRPr="00621B83">
        <w:t xml:space="preserve">За сключване на договор за предоставяне на БФП </w:t>
      </w:r>
      <w:r w:rsidR="0013219A" w:rsidRPr="00621B83">
        <w:t xml:space="preserve">Кандидатът </w:t>
      </w:r>
      <w:r w:rsidRPr="00621B83">
        <w:t>предоставя</w:t>
      </w:r>
      <w:r w:rsidR="00376844" w:rsidRPr="00621B83">
        <w:t xml:space="preserve"> следните документи</w:t>
      </w:r>
      <w:r w:rsidR="002A1D56" w:rsidRPr="00621B83">
        <w:t xml:space="preserve"> в оригинал</w:t>
      </w:r>
      <w:r w:rsidRPr="00621B83">
        <w:t xml:space="preserve">:  </w:t>
      </w:r>
    </w:p>
    <w:p w14:paraId="45C2755F" w14:textId="77777777" w:rsidR="003A5FD1" w:rsidRPr="00621B83" w:rsidRDefault="00154F2A" w:rsidP="00DF3B8C">
      <w:pPr>
        <w:numPr>
          <w:ilvl w:val="0"/>
          <w:numId w:val="31"/>
        </w:numPr>
        <w:ind w:left="284" w:hanging="284"/>
      </w:pPr>
      <w:r w:rsidRPr="00621B83">
        <w:t>Документ за оправомощаване</w:t>
      </w:r>
      <w:r w:rsidR="00DF3B8C" w:rsidRPr="00621B83">
        <w:t xml:space="preserve"> </w:t>
      </w:r>
      <w:r w:rsidRPr="00621B83">
        <w:t>з</w:t>
      </w:r>
      <w:r w:rsidR="00DF3B8C" w:rsidRPr="00621B83">
        <w:t xml:space="preserve">а сключване на </w:t>
      </w:r>
      <w:r w:rsidRPr="00621B83">
        <w:t xml:space="preserve">Договор за БФП - когато </w:t>
      </w:r>
      <w:r w:rsidR="0013219A" w:rsidRPr="00621B83">
        <w:t xml:space="preserve">Кандидатът </w:t>
      </w:r>
      <w:r w:rsidR="00DF3B8C" w:rsidRPr="00621B83">
        <w:t xml:space="preserve">се представлява от лице, различно от </w:t>
      </w:r>
      <w:r w:rsidR="00285952" w:rsidRPr="00621B83">
        <w:t xml:space="preserve">законния </w:t>
      </w:r>
      <w:r w:rsidR="00DF3B8C" w:rsidRPr="00621B83">
        <w:t>му представител – оригинал или нотариално заверено копие;</w:t>
      </w:r>
    </w:p>
    <w:p w14:paraId="501DA463" w14:textId="77777777" w:rsidR="003A5FD1" w:rsidRPr="00621B83" w:rsidRDefault="00DF3B8C" w:rsidP="00DF3B8C">
      <w:pPr>
        <w:numPr>
          <w:ilvl w:val="0"/>
          <w:numId w:val="31"/>
        </w:numPr>
        <w:ind w:left="284" w:hanging="284"/>
      </w:pPr>
      <w:r w:rsidRPr="00621B83">
        <w:lastRenderedPageBreak/>
        <w:t xml:space="preserve">Споразумение за партньорство в оригинал, подписано от страна на </w:t>
      </w:r>
      <w:r w:rsidR="0060467D" w:rsidRPr="00621B83">
        <w:t xml:space="preserve">Кандидата </w:t>
      </w:r>
      <w:r w:rsidRPr="00621B83">
        <w:t>и</w:t>
      </w:r>
      <w:r w:rsidR="00285952" w:rsidRPr="00621B83">
        <w:t xml:space="preserve"> на</w:t>
      </w:r>
      <w:r w:rsidRPr="00621B83">
        <w:t xml:space="preserve"> </w:t>
      </w:r>
      <w:r w:rsidR="0060467D" w:rsidRPr="00621B83">
        <w:t>Партньора</w:t>
      </w:r>
      <w:r w:rsidR="0038289F" w:rsidRPr="00621B83">
        <w:t>/</w:t>
      </w:r>
      <w:r w:rsidRPr="00621B83">
        <w:t>и</w:t>
      </w:r>
      <w:r w:rsidR="0038289F" w:rsidRPr="00621B83">
        <w:t>те</w:t>
      </w:r>
      <w:r w:rsidR="00D74E2A" w:rsidRPr="00621B83">
        <w:t xml:space="preserve"> (Приложение </w:t>
      </w:r>
      <w:r w:rsidR="00A06379" w:rsidRPr="00621B83">
        <w:rPr>
          <w:lang w:val="en-US"/>
        </w:rPr>
        <w:t>O</w:t>
      </w:r>
      <w:r w:rsidR="00D74E2A" w:rsidRPr="00621B83">
        <w:t>)</w:t>
      </w:r>
      <w:r w:rsidRPr="00621B83">
        <w:t>;</w:t>
      </w:r>
    </w:p>
    <w:p w14:paraId="1C3852DE" w14:textId="77777777" w:rsidR="003A5FD1" w:rsidRPr="00621B83" w:rsidRDefault="00E53A05" w:rsidP="00DF3B8C">
      <w:pPr>
        <w:numPr>
          <w:ilvl w:val="0"/>
          <w:numId w:val="31"/>
        </w:numPr>
        <w:ind w:left="284" w:hanging="284"/>
      </w:pPr>
      <w:r w:rsidRPr="00621B83">
        <w:t>Декларация относно определенията за нередност и измама</w:t>
      </w:r>
      <w:r w:rsidR="00DF3B8C" w:rsidRPr="00621B83">
        <w:t xml:space="preserve"> (</w:t>
      </w:r>
      <w:r w:rsidR="0038289F" w:rsidRPr="00621B83">
        <w:t xml:space="preserve">Приложение </w:t>
      </w:r>
      <w:r w:rsidR="00C440EC" w:rsidRPr="00621B83">
        <w:rPr>
          <w:lang w:val="en-US"/>
        </w:rPr>
        <w:t>E</w:t>
      </w:r>
      <w:r w:rsidR="00DF3B8C" w:rsidRPr="00621B83">
        <w:t xml:space="preserve">) </w:t>
      </w:r>
      <w:r w:rsidR="0038289F" w:rsidRPr="00621B83">
        <w:t xml:space="preserve">- подписана от лице с право да представлява </w:t>
      </w:r>
      <w:r w:rsidR="0013219A" w:rsidRPr="00621B83">
        <w:t>Кандидата</w:t>
      </w:r>
      <w:r w:rsidR="003A5FD1" w:rsidRPr="00621B83">
        <w:t>;</w:t>
      </w:r>
    </w:p>
    <w:p w14:paraId="37CFCD84" w14:textId="77777777" w:rsidR="00FE3B75" w:rsidRPr="00621B83" w:rsidRDefault="00FE3B75" w:rsidP="00FE3B75">
      <w:pPr>
        <w:numPr>
          <w:ilvl w:val="0"/>
          <w:numId w:val="31"/>
        </w:numPr>
        <w:ind w:left="284" w:hanging="284"/>
      </w:pPr>
      <w:r w:rsidRPr="00621B83">
        <w:t xml:space="preserve">Заявление за профил за достъп на ръководител на </w:t>
      </w:r>
      <w:r w:rsidR="00FB797E" w:rsidRPr="00621B83">
        <w:t xml:space="preserve">Бенефициента </w:t>
      </w:r>
      <w:r w:rsidRPr="00621B83">
        <w:t xml:space="preserve">до ИСУН 2020 (Приложение </w:t>
      </w:r>
      <w:r w:rsidR="002F2533" w:rsidRPr="00621B83">
        <w:rPr>
          <w:lang w:val="en-US"/>
        </w:rPr>
        <w:t>R</w:t>
      </w:r>
      <w:r w:rsidRPr="00621B83">
        <w:t xml:space="preserve">) и/или Заявление за профил за достъп на упълномощени от бенефициента лица до ИСУН 2020 (Приложение </w:t>
      </w:r>
      <w:r w:rsidR="003C71E8" w:rsidRPr="00621B83">
        <w:rPr>
          <w:lang w:val="en-US"/>
        </w:rPr>
        <w:t>S</w:t>
      </w:r>
      <w:r w:rsidRPr="00621B83">
        <w:t xml:space="preserve">) – подписано от лице с право да представлява кандидата. </w:t>
      </w:r>
    </w:p>
    <w:p w14:paraId="3A0C03A4" w14:textId="77777777" w:rsidR="00DF3B8C" w:rsidRPr="00621B83" w:rsidRDefault="00481BF3" w:rsidP="00005F6A">
      <w:pPr>
        <w:numPr>
          <w:ilvl w:val="0"/>
          <w:numId w:val="31"/>
        </w:numPr>
        <w:ind w:left="284" w:hanging="284"/>
      </w:pPr>
      <w:r w:rsidRPr="00621B83">
        <w:t>Д</w:t>
      </w:r>
      <w:r w:rsidR="00DF3B8C" w:rsidRPr="00621B83">
        <w:t xml:space="preserve">екларация за </w:t>
      </w:r>
      <w:r w:rsidR="0032025F" w:rsidRPr="00621B83">
        <w:t xml:space="preserve">минимални </w:t>
      </w:r>
      <w:r w:rsidR="00DF3B8C" w:rsidRPr="00621B83">
        <w:t xml:space="preserve">и </w:t>
      </w:r>
      <w:r w:rsidR="0032025F" w:rsidRPr="00621B83">
        <w:t xml:space="preserve">държавни </w:t>
      </w:r>
      <w:r w:rsidR="00DF3B8C" w:rsidRPr="00621B83">
        <w:t xml:space="preserve">помощи </w:t>
      </w:r>
      <w:r w:rsidR="0058370B">
        <w:t xml:space="preserve">от Парньора </w:t>
      </w:r>
      <w:r w:rsidR="00DF3B8C" w:rsidRPr="00621B83">
        <w:t>(</w:t>
      </w:r>
      <w:r w:rsidRPr="00621B83">
        <w:t xml:space="preserve">ако е приложимо, Приложение </w:t>
      </w:r>
      <w:r w:rsidR="00D83498" w:rsidRPr="00621B83">
        <w:rPr>
          <w:lang w:val="en-US"/>
        </w:rPr>
        <w:t>M</w:t>
      </w:r>
      <w:r w:rsidR="00DF3B8C" w:rsidRPr="00621B83">
        <w:t>).</w:t>
      </w:r>
    </w:p>
    <w:p w14:paraId="79F47760" w14:textId="77777777" w:rsidR="00B54BA6" w:rsidRDefault="00EA3027" w:rsidP="00005F6A">
      <w:pPr>
        <w:numPr>
          <w:ilvl w:val="0"/>
          <w:numId w:val="31"/>
        </w:numPr>
        <w:ind w:left="284" w:hanging="284"/>
      </w:pPr>
      <w:r w:rsidRPr="00621B83">
        <w:t>Работен проект, при кандидатстване по Вариант 1</w:t>
      </w:r>
      <w:r w:rsidR="00B54BA6">
        <w:t>;</w:t>
      </w:r>
    </w:p>
    <w:p w14:paraId="0B8C8AEA" w14:textId="77777777" w:rsidR="00EA3027" w:rsidRPr="00621B83" w:rsidRDefault="00EA3027" w:rsidP="00007C4A">
      <w:pPr>
        <w:ind w:left="284"/>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161F93" w:rsidRPr="00983251" w14:paraId="4C31A658"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9B9E669" w14:textId="77777777" w:rsidR="00161F93" w:rsidRPr="00621B83" w:rsidRDefault="00161F93" w:rsidP="004B7B2C">
            <w:pPr>
              <w:rPr>
                <w:b/>
              </w:rPr>
            </w:pPr>
            <w:r w:rsidRPr="00621B83">
              <w:rPr>
                <w:b/>
              </w:rPr>
              <w:t>ВАЖНО!</w:t>
            </w:r>
          </w:p>
          <w:p w14:paraId="5BC914D9" w14:textId="77777777" w:rsidR="00161F93" w:rsidRPr="00621B83" w:rsidRDefault="00A71116" w:rsidP="0013219A">
            <w:pPr>
              <w:rPr>
                <w:b/>
              </w:rPr>
            </w:pPr>
            <w:r w:rsidRPr="00621B83">
              <w:rPr>
                <w:b/>
              </w:rPr>
              <w:t xml:space="preserve">При подписване на договор за БФП, </w:t>
            </w:r>
            <w:r w:rsidR="0013219A" w:rsidRPr="00621B83">
              <w:rPr>
                <w:b/>
              </w:rPr>
              <w:t xml:space="preserve">Кандидатът </w:t>
            </w:r>
            <w:r w:rsidRPr="00621B83">
              <w:rPr>
                <w:b/>
              </w:rPr>
              <w:t xml:space="preserve">представя на хартиен носител в оригинал </w:t>
            </w:r>
            <w:r w:rsidR="00D6778F" w:rsidRPr="00621B83">
              <w:rPr>
                <w:b/>
              </w:rPr>
              <w:t>всички документи, които са приложения към договора за БФП, включително тези</w:t>
            </w:r>
            <w:r w:rsidRPr="00621B83">
              <w:rPr>
                <w:b/>
              </w:rPr>
              <w:t>, подадени електронно на етап кандидатстване</w:t>
            </w:r>
            <w:r w:rsidR="00C561A2" w:rsidRPr="00621B83">
              <w:rPr>
                <w:b/>
              </w:rPr>
              <w:t>.</w:t>
            </w:r>
            <w:r w:rsidRPr="00621B83">
              <w:rPr>
                <w:b/>
              </w:rPr>
              <w:t xml:space="preserve"> За обстоятелства, за които след датата на кандидатстване е настъпила промяна, декларацията, в която тези обстоятелства се декларират, се представя подписана отново и на етап договаряне на хартия в оригинал.</w:t>
            </w:r>
          </w:p>
        </w:tc>
      </w:tr>
    </w:tbl>
    <w:p w14:paraId="27C74BD2" w14:textId="77777777" w:rsidR="00E06CCC" w:rsidRPr="00621B83" w:rsidRDefault="00E06CCC" w:rsidP="00865537">
      <w:r w:rsidRPr="00621B83">
        <w:rPr>
          <w:color w:val="000000"/>
        </w:rPr>
        <w:t>Преди сключване на договор за БФП се проверява дали след издаването на решението за предоставяне на БФП са настъпили промени, свързани с двойно финансиране или предоставянето на държавна/минимална помощ.</w:t>
      </w:r>
    </w:p>
    <w:p w14:paraId="23B48691" w14:textId="77777777" w:rsidR="006D7DE0" w:rsidRPr="00621B83" w:rsidRDefault="006D7DE0" w:rsidP="00865537">
      <w:r w:rsidRPr="00621B83">
        <w:t>Кандидатът предоставя изисканите по тази точка документи на следния адрес:</w:t>
      </w:r>
    </w:p>
    <w:p w14:paraId="5F9B22E5" w14:textId="77777777" w:rsidR="00EF5DEB" w:rsidRPr="00621B83" w:rsidRDefault="00EF5DEB" w:rsidP="00EF5DEB">
      <w:pPr>
        <w:rPr>
          <w:b/>
        </w:rPr>
      </w:pPr>
      <w:r w:rsidRPr="00621B83">
        <w:rPr>
          <w:b/>
        </w:rPr>
        <w:t>МИНИСТЕРСТВО НА ЕНЕРГЕТИКАТА</w:t>
      </w:r>
    </w:p>
    <w:p w14:paraId="5D968A33" w14:textId="77777777" w:rsidR="00EF5DEB" w:rsidRPr="00621B83" w:rsidRDefault="00EF5DEB" w:rsidP="00EF5DEB">
      <w:pPr>
        <w:rPr>
          <w:b/>
        </w:rPr>
      </w:pPr>
      <w:r w:rsidRPr="00621B83">
        <w:rPr>
          <w:b/>
        </w:rPr>
        <w:t>УЛ. „ТРИАДИЦА“ №8</w:t>
      </w:r>
    </w:p>
    <w:p w14:paraId="7340ACA7" w14:textId="77777777" w:rsidR="00EF5DEB" w:rsidRPr="00621B83" w:rsidRDefault="00EF5DEB" w:rsidP="00EF5DEB">
      <w:pPr>
        <w:rPr>
          <w:b/>
        </w:rPr>
      </w:pPr>
      <w:r w:rsidRPr="00621B83">
        <w:rPr>
          <w:b/>
        </w:rPr>
        <w:t>СОФИЯ 1040, БЪЛГАРИЯ</w:t>
      </w:r>
    </w:p>
    <w:p w14:paraId="132C729D" w14:textId="77777777" w:rsidR="00EF5DEB" w:rsidRPr="00621B83" w:rsidRDefault="00EF5DEB" w:rsidP="00EF5DEB">
      <w:pPr>
        <w:rPr>
          <w:b/>
        </w:rPr>
      </w:pPr>
      <w:r w:rsidRPr="00621B83">
        <w:rPr>
          <w:b/>
        </w:rPr>
        <w:t xml:space="preserve">Процедура </w:t>
      </w:r>
      <w:r w:rsidR="000809F1" w:rsidRPr="00621B83">
        <w:rPr>
          <w:b/>
        </w:rPr>
        <w:t>„</w:t>
      </w:r>
      <w:r w:rsidR="007A4A3E" w:rsidRPr="00621B83">
        <w:rPr>
          <w:b/>
        </w:rPr>
        <w:t>Рехабилитация и модернизация на общинската инфраструктура - системи за външно изкуствено осветление на общините</w:t>
      </w:r>
      <w:r w:rsidR="000809F1" w:rsidRPr="00621B83">
        <w:rPr>
          <w:b/>
        </w:rPr>
        <w:t>“</w:t>
      </w:r>
    </w:p>
    <w:p w14:paraId="2B35B2E6" w14:textId="77777777" w:rsidR="005A5011" w:rsidRPr="00621B83" w:rsidRDefault="00E06CCC" w:rsidP="00EF5DEB">
      <w:r w:rsidRPr="00621B83">
        <w:rPr>
          <w:color w:val="000000"/>
        </w:rPr>
        <w:t xml:space="preserve">Ръководителят на ПО издава мотивирано решение за отказ по отношение на </w:t>
      </w:r>
      <w:r w:rsidR="00B52928" w:rsidRPr="00621B83">
        <w:rPr>
          <w:color w:val="000000"/>
        </w:rPr>
        <w:t>Кандидатите</w:t>
      </w:r>
      <w:r w:rsidRPr="00621B83">
        <w:rPr>
          <w:color w:val="000000"/>
        </w:rPr>
        <w:t xml:space="preserve">, които не отговарят на изискванията за </w:t>
      </w:r>
      <w:r w:rsidR="00B52928" w:rsidRPr="00621B83">
        <w:rPr>
          <w:color w:val="000000"/>
        </w:rPr>
        <w:t xml:space="preserve">Бенефициент </w:t>
      </w:r>
      <w:r w:rsidRPr="00621B83">
        <w:rPr>
          <w:color w:val="000000"/>
        </w:rPr>
        <w:t>или към проекта, не са подали в срок доказателства за това, сами са се отказали от подписването на договор или по отношение, на които е установено наличието на двойно финансиране или получена държавна/минимална помощ, която възпрепятства предоставянето на БФП по процедурата.</w:t>
      </w:r>
      <w:r w:rsidR="00005F6A" w:rsidRPr="00621B83">
        <w:rPr>
          <w:color w:val="000000"/>
        </w:rPr>
        <w:t xml:space="preserve"> </w:t>
      </w:r>
    </w:p>
    <w:p w14:paraId="461CEE6E" w14:textId="77777777" w:rsidR="000857B0" w:rsidRPr="00621B83" w:rsidRDefault="000857B0" w:rsidP="00BC3F6A">
      <w:r w:rsidRPr="00621B83">
        <w:t>Решенията могат да бъдат оспорени пред съда в съответствие с Административнопроцесуалния кодекс</w:t>
      </w:r>
      <w:r w:rsidR="00E53A05" w:rsidRPr="00621B83">
        <w:t xml:space="preserve">. </w:t>
      </w:r>
    </w:p>
    <w:p w14:paraId="5EF3D9BC" w14:textId="77777777" w:rsidR="00C530EB" w:rsidRPr="00716C51" w:rsidRDefault="00C530EB" w:rsidP="00621B83">
      <w:pPr>
        <w:pStyle w:val="Heading1"/>
      </w:pPr>
      <w:bookmarkStart w:id="60" w:name="_Toc24983867"/>
      <w:r w:rsidRPr="00716C51">
        <w:t>ПРИЛОЖЕНИЯ</w:t>
      </w:r>
      <w:r w:rsidR="00E06CCC" w:rsidRPr="00716C51">
        <w:t>:</w:t>
      </w:r>
      <w:bookmarkEnd w:id="60"/>
    </w:p>
    <w:p w14:paraId="4BF4F117" w14:textId="77777777" w:rsidR="00E06CCC" w:rsidRPr="00621B83" w:rsidRDefault="00E06CCC" w:rsidP="002D2895">
      <w:pPr>
        <w:numPr>
          <w:ilvl w:val="0"/>
          <w:numId w:val="57"/>
        </w:numPr>
      </w:pPr>
      <w:r w:rsidRPr="00621B83">
        <w:t xml:space="preserve">Документи за информация </w:t>
      </w:r>
    </w:p>
    <w:p w14:paraId="0ED1D97F" w14:textId="77777777" w:rsidR="00E06CCC" w:rsidRPr="00621B83" w:rsidRDefault="00976566" w:rsidP="002D2895">
      <w:pPr>
        <w:ind w:left="1080"/>
      </w:pPr>
      <w:r w:rsidRPr="00621B83">
        <w:t xml:space="preserve">Приложение </w:t>
      </w:r>
      <w:r w:rsidR="00C47DC3" w:rsidRPr="00621B83">
        <w:rPr>
          <w:lang w:val="en-US"/>
        </w:rPr>
        <w:t>A</w:t>
      </w:r>
      <w:r w:rsidRPr="00621B83">
        <w:t xml:space="preserve">: </w:t>
      </w:r>
      <w:r w:rsidR="00E83426" w:rsidRPr="00621B83">
        <w:t>Критерии и методология за оценка на проектните предложения</w:t>
      </w:r>
    </w:p>
    <w:p w14:paraId="2391A452" w14:textId="77777777" w:rsidR="00BC0786" w:rsidRPr="00621B83" w:rsidRDefault="00976566" w:rsidP="00621B83">
      <w:pPr>
        <w:ind w:left="1080"/>
      </w:pPr>
      <w:r w:rsidRPr="00621B83">
        <w:lastRenderedPageBreak/>
        <w:t>Приложение </w:t>
      </w:r>
      <w:r w:rsidR="00C47DC3" w:rsidRPr="00621B83">
        <w:rPr>
          <w:lang w:val="en-US"/>
        </w:rPr>
        <w:t>B</w:t>
      </w:r>
      <w:r w:rsidRPr="00621B83">
        <w:t xml:space="preserve">: </w:t>
      </w:r>
      <w:r w:rsidR="00BC0786" w:rsidRPr="00621B83">
        <w:t>Ръководството за потребителя за модул “Е-кандидатстване” в ИСУН 2020 (от 10 юни 2019 г.)</w:t>
      </w:r>
      <w:r w:rsidR="00BC0786" w:rsidRPr="00621B83">
        <w:rPr>
          <w:rStyle w:val="FootnoteReference"/>
        </w:rPr>
        <w:footnoteReference w:id="4"/>
      </w:r>
      <w:r w:rsidR="00BC0786" w:rsidRPr="00621B83">
        <w:t xml:space="preserve">. </w:t>
      </w:r>
    </w:p>
    <w:p w14:paraId="2559A6B2" w14:textId="77777777" w:rsidR="00E83426" w:rsidRPr="00621B83" w:rsidRDefault="00976566" w:rsidP="006422F5">
      <w:pPr>
        <w:ind w:left="1080"/>
      </w:pPr>
      <w:r w:rsidRPr="00621B83">
        <w:t xml:space="preserve">Приложение </w:t>
      </w:r>
      <w:r w:rsidR="00C47DC3" w:rsidRPr="00621B83">
        <w:rPr>
          <w:lang w:val="en-US"/>
        </w:rPr>
        <w:t>C</w:t>
      </w:r>
      <w:r w:rsidRPr="00621B83">
        <w:t xml:space="preserve">: </w:t>
      </w:r>
      <w:r w:rsidR="00F860E8" w:rsidRPr="00621B83">
        <w:t>Ръководството за комуникация и дизайн по ФМ на ЕИП и Норвегия за периода 2014-2021 г.</w:t>
      </w:r>
    </w:p>
    <w:p w14:paraId="7B5CCA62" w14:textId="77777777" w:rsidR="00976566" w:rsidRPr="00621B83" w:rsidRDefault="00976566" w:rsidP="006422F5">
      <w:pPr>
        <w:ind w:left="1080"/>
      </w:pPr>
      <w:r w:rsidRPr="00621B83">
        <w:t xml:space="preserve">Приложение </w:t>
      </w:r>
      <w:r w:rsidR="00C47DC3" w:rsidRPr="00621B83">
        <w:rPr>
          <w:lang w:val="en-US"/>
        </w:rPr>
        <w:t>D</w:t>
      </w:r>
      <w:r w:rsidRPr="00621B83">
        <w:t>: Таблица с резултатите по настоящата процедура</w:t>
      </w:r>
    </w:p>
    <w:p w14:paraId="31CD1BFF" w14:textId="77777777" w:rsidR="00976566" w:rsidRPr="00621B83" w:rsidRDefault="00976566" w:rsidP="006422F5">
      <w:pPr>
        <w:ind w:left="1080"/>
      </w:pPr>
      <w:r w:rsidRPr="00621B83">
        <w:t xml:space="preserve">Приложение </w:t>
      </w:r>
      <w:r w:rsidR="00C47DC3" w:rsidRPr="00621B83">
        <w:rPr>
          <w:lang w:val="en-US"/>
        </w:rPr>
        <w:t>E</w:t>
      </w:r>
      <w:r w:rsidRPr="00621B83">
        <w:t xml:space="preserve">: Декларация </w:t>
      </w:r>
      <w:r w:rsidR="00E53A05" w:rsidRPr="00621B83">
        <w:t xml:space="preserve">относно определенията за нередност и измама </w:t>
      </w:r>
    </w:p>
    <w:p w14:paraId="24B7CBFF" w14:textId="77777777" w:rsidR="00976566" w:rsidRPr="00621B83" w:rsidRDefault="00976566" w:rsidP="006422F5">
      <w:pPr>
        <w:ind w:left="1080"/>
      </w:pPr>
      <w:r w:rsidRPr="00621B83">
        <w:t xml:space="preserve">Приложение </w:t>
      </w:r>
      <w:r w:rsidR="00C47DC3" w:rsidRPr="00621B83">
        <w:rPr>
          <w:lang w:val="en-US"/>
        </w:rPr>
        <w:t>F</w:t>
      </w:r>
      <w:r w:rsidRPr="00621B83">
        <w:t>: Договор за безвъзмездна финансова помощ</w:t>
      </w:r>
    </w:p>
    <w:p w14:paraId="3A19BE9E" w14:textId="77777777" w:rsidR="00976566" w:rsidRPr="00621B83" w:rsidRDefault="00976566" w:rsidP="006422F5">
      <w:pPr>
        <w:ind w:left="1080"/>
      </w:pPr>
      <w:r w:rsidRPr="00621B83">
        <w:t xml:space="preserve">Приложение </w:t>
      </w:r>
      <w:r w:rsidR="00C47DC3" w:rsidRPr="00621B83">
        <w:rPr>
          <w:lang w:val="en-US"/>
        </w:rPr>
        <w:t>G</w:t>
      </w:r>
      <w:r w:rsidRPr="00621B83">
        <w:t>: Общи условия</w:t>
      </w:r>
    </w:p>
    <w:p w14:paraId="08B28A18" w14:textId="77777777" w:rsidR="00E83426" w:rsidRPr="00621B83" w:rsidRDefault="00E83426" w:rsidP="006422F5">
      <w:pPr>
        <w:ind w:left="1080"/>
      </w:pPr>
    </w:p>
    <w:p w14:paraId="44687444" w14:textId="77777777" w:rsidR="00C530EB" w:rsidRPr="00621B83" w:rsidRDefault="00E06CCC" w:rsidP="002D2895">
      <w:pPr>
        <w:numPr>
          <w:ilvl w:val="0"/>
          <w:numId w:val="57"/>
        </w:numPr>
      </w:pPr>
      <w:r w:rsidRPr="00621B83">
        <w:t xml:space="preserve">Документи за попълване </w:t>
      </w:r>
    </w:p>
    <w:p w14:paraId="3AC37D47" w14:textId="77777777" w:rsidR="00C003BC" w:rsidRPr="00621B83" w:rsidRDefault="00C003BC" w:rsidP="00621B83">
      <w:pPr>
        <w:ind w:left="1080"/>
      </w:pPr>
      <w:r w:rsidRPr="00621B83">
        <w:t xml:space="preserve">Приложение </w:t>
      </w:r>
      <w:r w:rsidR="00C47DC3" w:rsidRPr="00621B83">
        <w:rPr>
          <w:lang w:val="en-US"/>
        </w:rPr>
        <w:t>I</w:t>
      </w:r>
      <w:r w:rsidRPr="00621B83">
        <w:t xml:space="preserve">: </w:t>
      </w:r>
      <w:r w:rsidR="00BA1EAE" w:rsidRPr="00621B83">
        <w:t xml:space="preserve">Декларация, че кандидатът е запознат с условията за кандидатстване, че ще бъде пряко отговорен за управлението и изпълнението на дейностите по проекта, за удостоверяване на идентичността на двата езика и за участие на консултанти при подготовката на проектното предложение </w:t>
      </w:r>
    </w:p>
    <w:p w14:paraId="78A9D326" w14:textId="77777777" w:rsidR="00C003BC" w:rsidRPr="00621B83" w:rsidRDefault="00C003BC" w:rsidP="00621B83">
      <w:pPr>
        <w:ind w:left="1080"/>
      </w:pPr>
      <w:r w:rsidRPr="00621B83">
        <w:t xml:space="preserve">Приложение </w:t>
      </w:r>
      <w:r w:rsidR="00C47DC3" w:rsidRPr="00621B83">
        <w:rPr>
          <w:lang w:val="en-US"/>
        </w:rPr>
        <w:t>J</w:t>
      </w:r>
      <w:r w:rsidRPr="00621B83">
        <w:t>: Декларация относно статута по ЗДДС</w:t>
      </w:r>
    </w:p>
    <w:p w14:paraId="26164826" w14:textId="77777777" w:rsidR="00C003BC" w:rsidRPr="00621B83" w:rsidRDefault="00C003BC" w:rsidP="00621B83">
      <w:pPr>
        <w:ind w:left="1080"/>
      </w:pPr>
      <w:r w:rsidRPr="00621B83">
        <w:t xml:space="preserve">Приложение </w:t>
      </w:r>
      <w:r w:rsidR="00C47DC3" w:rsidRPr="00621B83">
        <w:rPr>
          <w:lang w:val="en-US"/>
        </w:rPr>
        <w:t>K</w:t>
      </w:r>
      <w:r w:rsidRPr="00621B83">
        <w:t xml:space="preserve">: Декларация за липса на основания за недопустимост </w:t>
      </w:r>
      <w:r w:rsidR="00976566" w:rsidRPr="00621B83">
        <w:t>на кандидата</w:t>
      </w:r>
    </w:p>
    <w:p w14:paraId="3FDAB0A6" w14:textId="77777777" w:rsidR="00976566" w:rsidRPr="00621B83" w:rsidRDefault="00976566" w:rsidP="00621B83">
      <w:pPr>
        <w:ind w:left="1080"/>
      </w:pPr>
      <w:r w:rsidRPr="00621B83">
        <w:t xml:space="preserve">Приложение </w:t>
      </w:r>
      <w:r w:rsidR="00C47DC3" w:rsidRPr="00621B83">
        <w:rPr>
          <w:lang w:val="en-US"/>
        </w:rPr>
        <w:t>L</w:t>
      </w:r>
      <w:r w:rsidRPr="00621B83">
        <w:t>: Декларация за липса на основания за недопустимост на партньора</w:t>
      </w:r>
    </w:p>
    <w:p w14:paraId="43B797C9" w14:textId="77777777" w:rsidR="00C003BC" w:rsidRPr="00621B83" w:rsidRDefault="00C003BC" w:rsidP="00621B83">
      <w:pPr>
        <w:ind w:left="1080"/>
      </w:pPr>
      <w:r w:rsidRPr="00621B83">
        <w:t xml:space="preserve">Приложение </w:t>
      </w:r>
      <w:r w:rsidR="00C47DC3" w:rsidRPr="00621B83">
        <w:rPr>
          <w:lang w:val="en-US"/>
        </w:rPr>
        <w:t>M</w:t>
      </w:r>
      <w:r w:rsidRPr="00621B83">
        <w:t>: Декларация за минимални и държавни помощи</w:t>
      </w:r>
      <w:r w:rsidR="007A64DE" w:rsidRPr="00621B83">
        <w:t xml:space="preserve"> (на българ</w:t>
      </w:r>
      <w:r w:rsidR="002F49F7" w:rsidRPr="00621B83">
        <w:t>с</w:t>
      </w:r>
      <w:r w:rsidR="007A64DE" w:rsidRPr="00621B83">
        <w:t>ки и на английски език)</w:t>
      </w:r>
    </w:p>
    <w:p w14:paraId="7546DECC" w14:textId="77777777" w:rsidR="00C003BC" w:rsidRPr="00621B83" w:rsidRDefault="00C003BC" w:rsidP="00621B83">
      <w:pPr>
        <w:ind w:left="1080"/>
      </w:pPr>
      <w:r w:rsidRPr="00621B83">
        <w:t xml:space="preserve">Приложение </w:t>
      </w:r>
      <w:r w:rsidR="00C47DC3" w:rsidRPr="00621B83">
        <w:rPr>
          <w:lang w:val="en-US"/>
        </w:rPr>
        <w:t>N</w:t>
      </w:r>
      <w:r w:rsidRPr="00621B83">
        <w:t>: Декларация за наличие / липса на двойно финансиране</w:t>
      </w:r>
    </w:p>
    <w:p w14:paraId="3ADE1DB6" w14:textId="77777777" w:rsidR="00C003BC" w:rsidRPr="00621B83" w:rsidRDefault="00C003BC" w:rsidP="00621B83">
      <w:pPr>
        <w:ind w:left="1080"/>
      </w:pPr>
      <w:r w:rsidRPr="00621B83">
        <w:t xml:space="preserve">Приложение </w:t>
      </w:r>
      <w:r w:rsidR="00C47DC3" w:rsidRPr="00621B83">
        <w:rPr>
          <w:lang w:val="en-US"/>
        </w:rPr>
        <w:t>O</w:t>
      </w:r>
      <w:r w:rsidRPr="00621B83">
        <w:t>: Образец на Споразумение за партньорство</w:t>
      </w:r>
    </w:p>
    <w:p w14:paraId="7626B4A4" w14:textId="77777777" w:rsidR="007D0AA6" w:rsidRPr="00621B83" w:rsidRDefault="00C003BC" w:rsidP="00621B83">
      <w:pPr>
        <w:ind w:left="1080"/>
      </w:pPr>
      <w:r w:rsidRPr="00621B83">
        <w:t xml:space="preserve">Приложение </w:t>
      </w:r>
      <w:r w:rsidR="00C47DC3" w:rsidRPr="00621B83">
        <w:rPr>
          <w:lang w:val="en-US"/>
        </w:rPr>
        <w:t>P</w:t>
      </w:r>
      <w:r w:rsidRPr="00621B83">
        <w:t>: Образец на автобиография</w:t>
      </w:r>
    </w:p>
    <w:p w14:paraId="45ECFC80" w14:textId="77777777" w:rsidR="0065375A" w:rsidRPr="00621B83" w:rsidRDefault="00925AD5" w:rsidP="000809F1">
      <w:pPr>
        <w:ind w:left="1080"/>
      </w:pPr>
      <w:r w:rsidRPr="00621B83">
        <w:t xml:space="preserve">Приложение </w:t>
      </w:r>
      <w:r w:rsidRPr="00621B83">
        <w:rPr>
          <w:lang w:val="en-US"/>
        </w:rPr>
        <w:t>Q</w:t>
      </w:r>
      <w:r w:rsidRPr="00621B83">
        <w:t xml:space="preserve">: </w:t>
      </w:r>
      <w:r w:rsidR="00EC267F" w:rsidRPr="00621B83">
        <w:t>Становище за съответствие на Доклад от обследване за енергийна ефективност</w:t>
      </w:r>
    </w:p>
    <w:p w14:paraId="2F9F9D55" w14:textId="77777777" w:rsidR="002F2533" w:rsidRPr="00621B83" w:rsidRDefault="002F2533" w:rsidP="00621B83">
      <w:pPr>
        <w:ind w:left="1080"/>
      </w:pPr>
      <w:r w:rsidRPr="00621B83">
        <w:t>Приложение R: Заявление за профил за достъп на ръководител на Бенефициента до ИСУН 2020</w:t>
      </w:r>
    </w:p>
    <w:p w14:paraId="19638FC3" w14:textId="77777777" w:rsidR="00023E6F" w:rsidRPr="00621B83" w:rsidRDefault="00652E1E" w:rsidP="00621B83">
      <w:pPr>
        <w:ind w:left="1080"/>
      </w:pPr>
      <w:r w:rsidRPr="00621B83">
        <w:t>Приложение S: Заявление за профил за достъп на упълномощени от бенефициента лица до ИСУН 2020</w:t>
      </w:r>
    </w:p>
    <w:sectPr w:rsidR="00023E6F" w:rsidRPr="00621B83" w:rsidSect="00EC7088">
      <w:headerReference w:type="default" r:id="rId48"/>
      <w:footerReference w:type="even" r:id="rId49"/>
      <w:footerReference w:type="default" r:id="rId50"/>
      <w:headerReference w:type="first" r:id="rId51"/>
      <w:type w:val="continuous"/>
      <w:pgSz w:w="11906" w:h="16838"/>
      <w:pgMar w:top="1134" w:right="992"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CBCD6" w14:textId="77777777" w:rsidR="00194001" w:rsidRDefault="00194001" w:rsidP="00621B83">
      <w:pPr>
        <w:spacing w:after="0" w:line="240" w:lineRule="auto"/>
      </w:pPr>
      <w:r>
        <w:separator/>
      </w:r>
    </w:p>
  </w:endnote>
  <w:endnote w:type="continuationSeparator" w:id="0">
    <w:p w14:paraId="22F1E4BD" w14:textId="77777777" w:rsidR="00194001" w:rsidRDefault="00194001" w:rsidP="00621B83">
      <w:pPr>
        <w:spacing w:after="0" w:line="240" w:lineRule="auto"/>
      </w:pPr>
      <w:r>
        <w:continuationSeparator/>
      </w:r>
    </w:p>
  </w:endnote>
  <w:endnote w:type="continuationNotice" w:id="1">
    <w:p w14:paraId="3502B583" w14:textId="77777777" w:rsidR="00194001" w:rsidRDefault="00194001" w:rsidP="00621B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2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C83C0" w14:textId="77777777" w:rsidR="003200C9" w:rsidRDefault="003200C9"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B71073" w14:textId="77777777" w:rsidR="003200C9" w:rsidRDefault="003200C9" w:rsidP="0048578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5A2A" w14:textId="77777777" w:rsidR="003200C9" w:rsidRDefault="003200C9"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2ADF">
      <w:rPr>
        <w:rStyle w:val="PageNumber"/>
        <w:noProof/>
      </w:rPr>
      <w:t>41</w:t>
    </w:r>
    <w:r>
      <w:rPr>
        <w:rStyle w:val="PageNumber"/>
      </w:rPr>
      <w:fldChar w:fldCharType="end"/>
    </w:r>
  </w:p>
  <w:p w14:paraId="1723AD37" w14:textId="77777777" w:rsidR="003200C9" w:rsidRDefault="003200C9" w:rsidP="0048578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50F07" w14:textId="77777777" w:rsidR="00194001" w:rsidRDefault="00194001" w:rsidP="00621B83">
      <w:pPr>
        <w:spacing w:after="0" w:line="240" w:lineRule="auto"/>
      </w:pPr>
      <w:r>
        <w:separator/>
      </w:r>
    </w:p>
  </w:footnote>
  <w:footnote w:type="continuationSeparator" w:id="0">
    <w:p w14:paraId="41BAC272" w14:textId="77777777" w:rsidR="00194001" w:rsidRDefault="00194001" w:rsidP="00621B83">
      <w:pPr>
        <w:spacing w:after="0" w:line="240" w:lineRule="auto"/>
      </w:pPr>
      <w:r>
        <w:continuationSeparator/>
      </w:r>
    </w:p>
  </w:footnote>
  <w:footnote w:type="continuationNotice" w:id="1">
    <w:p w14:paraId="22CB0316" w14:textId="77777777" w:rsidR="00194001" w:rsidRDefault="00194001" w:rsidP="00621B83">
      <w:pPr>
        <w:spacing w:after="0" w:line="240" w:lineRule="auto"/>
      </w:pPr>
    </w:p>
  </w:footnote>
  <w:footnote w:id="2">
    <w:p w14:paraId="06F9371F" w14:textId="77777777" w:rsidR="003200C9" w:rsidRPr="00EC7088" w:rsidRDefault="003200C9" w:rsidP="003F3FAD">
      <w:pPr>
        <w:pStyle w:val="FootnoteText"/>
        <w:spacing w:before="0" w:after="0" w:line="240" w:lineRule="auto"/>
        <w:rPr>
          <w:szCs w:val="18"/>
          <w:lang w:val="bg-BG"/>
        </w:rPr>
      </w:pPr>
      <w:r w:rsidRPr="00EC7088">
        <w:rPr>
          <w:rStyle w:val="FootnoteReference"/>
          <w:szCs w:val="18"/>
          <w:lang w:val="bg-BG"/>
        </w:rPr>
        <w:footnoteRef/>
      </w:r>
      <w:r w:rsidRPr="00EC7088">
        <w:rPr>
          <w:szCs w:val="18"/>
          <w:lang w:val="bg-BG"/>
        </w:rPr>
        <w:t xml:space="preserve"> НАРЕДБА No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p>
  </w:footnote>
  <w:footnote w:id="3">
    <w:p w14:paraId="21C45696" w14:textId="77777777" w:rsidR="003200C9" w:rsidRPr="003C233C" w:rsidRDefault="003200C9" w:rsidP="003F3FAD">
      <w:pPr>
        <w:pStyle w:val="FootnoteText"/>
        <w:spacing w:before="0" w:after="0" w:line="240" w:lineRule="auto"/>
        <w:rPr>
          <w:szCs w:val="18"/>
          <w:lang w:val="bg-BG"/>
        </w:rPr>
      </w:pPr>
      <w:r w:rsidRPr="003C233C">
        <w:rPr>
          <w:rStyle w:val="FootnoteReference"/>
          <w:szCs w:val="18"/>
        </w:rPr>
        <w:footnoteRef/>
      </w:r>
      <w:r w:rsidRPr="002D1F3C">
        <w:rPr>
          <w:szCs w:val="18"/>
          <w:lang w:val="ru-RU"/>
        </w:rPr>
        <w:t xml:space="preserve"> С изключение на пълномощно, подписано с КЕП от официалния представител на </w:t>
      </w:r>
      <w:r>
        <w:rPr>
          <w:szCs w:val="18"/>
          <w:lang w:val="ru-RU"/>
        </w:rPr>
        <w:t>К</w:t>
      </w:r>
      <w:r w:rsidRPr="002D1F3C">
        <w:rPr>
          <w:szCs w:val="18"/>
          <w:lang w:val="ru-RU"/>
        </w:rPr>
        <w:t>андидат</w:t>
      </w:r>
      <w:r>
        <w:rPr>
          <w:szCs w:val="18"/>
          <w:lang w:val="bg-BG"/>
        </w:rPr>
        <w:t>а</w:t>
      </w:r>
      <w:r w:rsidRPr="002D1F3C">
        <w:rPr>
          <w:szCs w:val="18"/>
          <w:lang w:val="ru-RU"/>
        </w:rPr>
        <w:t>, в случаите когато възражението се подава от упълномощено лице</w:t>
      </w:r>
    </w:p>
  </w:footnote>
  <w:footnote w:id="4">
    <w:p w14:paraId="043A866C" w14:textId="77777777" w:rsidR="003200C9" w:rsidRPr="00716C51" w:rsidRDefault="003200C9">
      <w:pPr>
        <w:pStyle w:val="FootnoteText"/>
        <w:rPr>
          <w:szCs w:val="18"/>
          <w:lang w:val="bg-BG"/>
        </w:rPr>
      </w:pPr>
      <w:r w:rsidRPr="00716C51">
        <w:rPr>
          <w:rStyle w:val="FootnoteReference"/>
          <w:szCs w:val="18"/>
        </w:rPr>
        <w:footnoteRef/>
      </w:r>
      <w:r w:rsidRPr="00716C51">
        <w:rPr>
          <w:szCs w:val="18"/>
        </w:rPr>
        <w:t xml:space="preserve"> </w:t>
      </w:r>
      <w:r w:rsidRPr="00716C51">
        <w:rPr>
          <w:szCs w:val="18"/>
          <w:lang w:eastAsia="ar-SA"/>
        </w:rPr>
        <w:t xml:space="preserve">Пълен комплект ръководства на адрес: </w:t>
      </w:r>
      <w:hyperlink r:id="rId1" w:history="1">
        <w:r w:rsidRPr="00716C51">
          <w:rPr>
            <w:rStyle w:val="Hyperlink"/>
            <w:szCs w:val="18"/>
            <w:lang w:eastAsia="ar-SA"/>
          </w:rPr>
          <w:t>https://eumis2020.government.bg/bg/s/Default/Manual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8A28C" w14:textId="77777777" w:rsidR="003200C9" w:rsidRDefault="003200C9">
    <w:pPr>
      <w:pStyle w:val="Header"/>
    </w:pPr>
  </w:p>
  <w:p w14:paraId="68709260" w14:textId="77777777" w:rsidR="003200C9" w:rsidRDefault="003200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3200C9" w:rsidRPr="00983251" w14:paraId="3E8BB1D7" w14:textId="77777777" w:rsidTr="00E05B78">
      <w:trPr>
        <w:trHeight w:val="878"/>
        <w:jc w:val="center"/>
      </w:trPr>
      <w:tc>
        <w:tcPr>
          <w:tcW w:w="3047" w:type="dxa"/>
          <w:vMerge w:val="restart"/>
          <w:shd w:val="clear" w:color="auto" w:fill="auto"/>
        </w:tcPr>
        <w:p w14:paraId="23ABABA0" w14:textId="77777777" w:rsidR="003200C9" w:rsidRPr="00983251" w:rsidRDefault="003200C9" w:rsidP="00E05B78">
          <w:pPr>
            <w:tabs>
              <w:tab w:val="center" w:pos="4536"/>
              <w:tab w:val="right" w:pos="9072"/>
            </w:tabs>
            <w:spacing w:line="276" w:lineRule="auto"/>
            <w:ind w:left="459"/>
            <w:rPr>
              <w:rFonts w:eastAsia="Calibri"/>
              <w:lang w:val="cs-CZ"/>
            </w:rPr>
          </w:pPr>
          <w:r w:rsidRPr="00983251">
            <w:rPr>
              <w:rFonts w:eastAsia="Calibri"/>
              <w:noProof/>
            </w:rPr>
            <w:drawing>
              <wp:inline distT="0" distB="0" distL="0" distR="0" wp14:anchorId="09F70DE0" wp14:editId="65DBF349">
                <wp:extent cx="1295400" cy="904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0BE3D5BF" w14:textId="77777777" w:rsidR="003200C9" w:rsidRPr="00983251" w:rsidRDefault="003200C9" w:rsidP="00726F5D">
          <w:pPr>
            <w:tabs>
              <w:tab w:val="center" w:pos="4536"/>
              <w:tab w:val="right" w:pos="9072"/>
            </w:tabs>
            <w:spacing w:line="276" w:lineRule="auto"/>
            <w:ind w:right="176"/>
            <w:jc w:val="center"/>
            <w:rPr>
              <w:rFonts w:eastAsia="Calibri"/>
              <w:b/>
            </w:rPr>
          </w:pPr>
          <w:r w:rsidRPr="00983251">
            <w:rPr>
              <w:rFonts w:eastAsia="Calibri"/>
              <w:b/>
              <w:lang w:val="cs-CZ"/>
            </w:rPr>
            <w:t>Програма „Възобновяема енергия, енергийна ефективност, енергийна сигурност</w:t>
          </w:r>
          <w:r w:rsidRPr="00983251">
            <w:rPr>
              <w:rFonts w:eastAsia="Calibri"/>
              <w:b/>
            </w:rPr>
            <w:t>“</w:t>
          </w:r>
        </w:p>
      </w:tc>
    </w:tr>
    <w:tr w:rsidR="003200C9" w:rsidRPr="00983251" w14:paraId="54E95A3C" w14:textId="77777777" w:rsidTr="00E05B78">
      <w:trPr>
        <w:trHeight w:val="877"/>
        <w:jc w:val="center"/>
      </w:trPr>
      <w:tc>
        <w:tcPr>
          <w:tcW w:w="3047" w:type="dxa"/>
          <w:vMerge/>
          <w:shd w:val="clear" w:color="auto" w:fill="auto"/>
        </w:tcPr>
        <w:p w14:paraId="10325A74" w14:textId="77777777" w:rsidR="003200C9" w:rsidRPr="00983251" w:rsidRDefault="003200C9" w:rsidP="00E05B78">
          <w:pPr>
            <w:tabs>
              <w:tab w:val="center" w:pos="4536"/>
              <w:tab w:val="right" w:pos="9072"/>
            </w:tabs>
            <w:spacing w:line="276" w:lineRule="auto"/>
            <w:ind w:left="459"/>
            <w:rPr>
              <w:rFonts w:eastAsia="Calibri"/>
              <w:noProof/>
            </w:rPr>
          </w:pPr>
        </w:p>
      </w:tc>
      <w:tc>
        <w:tcPr>
          <w:tcW w:w="8334" w:type="dxa"/>
          <w:tcBorders>
            <w:top w:val="single" w:sz="4" w:space="0" w:color="auto"/>
          </w:tcBorders>
          <w:vAlign w:val="center"/>
        </w:tcPr>
        <w:p w14:paraId="76C4C358" w14:textId="77777777" w:rsidR="003200C9" w:rsidRPr="00983251" w:rsidRDefault="003200C9" w:rsidP="00726F5D">
          <w:pPr>
            <w:tabs>
              <w:tab w:val="center" w:pos="4536"/>
              <w:tab w:val="right" w:pos="9072"/>
            </w:tabs>
            <w:spacing w:line="276" w:lineRule="auto"/>
            <w:ind w:right="176"/>
            <w:jc w:val="center"/>
            <w:rPr>
              <w:rFonts w:eastAsia="Calibri"/>
              <w:b/>
            </w:rPr>
          </w:pPr>
          <w:r w:rsidRPr="00983251">
            <w:rPr>
              <w:rFonts w:eastAsia="Calibri"/>
              <w:b/>
            </w:rPr>
            <w:t>Министерство на енергетиката</w:t>
          </w:r>
        </w:p>
        <w:p w14:paraId="7586F170" w14:textId="77777777" w:rsidR="003200C9" w:rsidRPr="00983251" w:rsidRDefault="003200C9" w:rsidP="00726F5D">
          <w:pPr>
            <w:tabs>
              <w:tab w:val="center" w:pos="4536"/>
              <w:tab w:val="right" w:pos="9072"/>
            </w:tabs>
            <w:spacing w:line="276" w:lineRule="auto"/>
            <w:ind w:right="175"/>
            <w:jc w:val="center"/>
            <w:rPr>
              <w:rFonts w:eastAsia="Calibri"/>
              <w:b/>
              <w:lang w:val="cs-CZ"/>
            </w:rPr>
          </w:pPr>
        </w:p>
      </w:tc>
    </w:tr>
  </w:tbl>
  <w:p w14:paraId="17379614" w14:textId="77777777" w:rsidR="003200C9" w:rsidRDefault="003200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6B09"/>
    <w:multiLevelType w:val="hybridMultilevel"/>
    <w:tmpl w:val="2D50DA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50692D"/>
    <w:multiLevelType w:val="hybridMultilevel"/>
    <w:tmpl w:val="FC201ADA"/>
    <w:lvl w:ilvl="0" w:tplc="8878D61C">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198B"/>
    <w:multiLevelType w:val="hybridMultilevel"/>
    <w:tmpl w:val="57164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7A86514"/>
    <w:multiLevelType w:val="hybridMultilevel"/>
    <w:tmpl w:val="D6762A7C"/>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8834554"/>
    <w:multiLevelType w:val="hybridMultilevel"/>
    <w:tmpl w:val="D512CDE4"/>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5">
    <w:nsid w:val="12894B6E"/>
    <w:multiLevelType w:val="hybridMultilevel"/>
    <w:tmpl w:val="F9C47AAA"/>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3F71E07"/>
    <w:multiLevelType w:val="hybridMultilevel"/>
    <w:tmpl w:val="2EF49C9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47C093A"/>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159A78A4"/>
    <w:multiLevelType w:val="hybridMultilevel"/>
    <w:tmpl w:val="BBC60B06"/>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94201D0C">
      <w:numFmt w:val="bullet"/>
      <w:lvlText w:val=""/>
      <w:lvlJc w:val="left"/>
      <w:pPr>
        <w:ind w:left="6480" w:hanging="360"/>
      </w:pPr>
      <w:rPr>
        <w:rFonts w:ascii="Symbol" w:eastAsia="Calibri" w:hAnsi="Symbol" w:cs="Calibri" w:hint="default"/>
        <w:color w:val="auto"/>
      </w:rPr>
    </w:lvl>
  </w:abstractNum>
  <w:abstractNum w:abstractNumId="9">
    <w:nsid w:val="17746146"/>
    <w:multiLevelType w:val="hybridMultilevel"/>
    <w:tmpl w:val="8B4ED39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7CF0724"/>
    <w:multiLevelType w:val="hybridMultilevel"/>
    <w:tmpl w:val="802C9AE0"/>
    <w:lvl w:ilvl="0" w:tplc="04020001">
      <w:start w:val="1"/>
      <w:numFmt w:val="bullet"/>
      <w:lvlText w:val=""/>
      <w:lvlJc w:val="left"/>
      <w:pPr>
        <w:ind w:left="790" w:hanging="360"/>
      </w:pPr>
      <w:rPr>
        <w:rFonts w:ascii="Symbol" w:hAnsi="Symbol" w:hint="default"/>
      </w:rPr>
    </w:lvl>
    <w:lvl w:ilvl="1" w:tplc="04020003" w:tentative="1">
      <w:start w:val="1"/>
      <w:numFmt w:val="bullet"/>
      <w:lvlText w:val="o"/>
      <w:lvlJc w:val="left"/>
      <w:pPr>
        <w:ind w:left="1510" w:hanging="360"/>
      </w:pPr>
      <w:rPr>
        <w:rFonts w:ascii="Courier New" w:hAnsi="Courier New" w:cs="Courier New" w:hint="default"/>
      </w:rPr>
    </w:lvl>
    <w:lvl w:ilvl="2" w:tplc="04020005" w:tentative="1">
      <w:start w:val="1"/>
      <w:numFmt w:val="bullet"/>
      <w:lvlText w:val=""/>
      <w:lvlJc w:val="left"/>
      <w:pPr>
        <w:ind w:left="2230" w:hanging="360"/>
      </w:pPr>
      <w:rPr>
        <w:rFonts w:ascii="Wingdings" w:hAnsi="Wingdings" w:hint="default"/>
      </w:rPr>
    </w:lvl>
    <w:lvl w:ilvl="3" w:tplc="04020001" w:tentative="1">
      <w:start w:val="1"/>
      <w:numFmt w:val="bullet"/>
      <w:lvlText w:val=""/>
      <w:lvlJc w:val="left"/>
      <w:pPr>
        <w:ind w:left="2950" w:hanging="360"/>
      </w:pPr>
      <w:rPr>
        <w:rFonts w:ascii="Symbol" w:hAnsi="Symbol" w:hint="default"/>
      </w:rPr>
    </w:lvl>
    <w:lvl w:ilvl="4" w:tplc="04020003" w:tentative="1">
      <w:start w:val="1"/>
      <w:numFmt w:val="bullet"/>
      <w:lvlText w:val="o"/>
      <w:lvlJc w:val="left"/>
      <w:pPr>
        <w:ind w:left="3670" w:hanging="360"/>
      </w:pPr>
      <w:rPr>
        <w:rFonts w:ascii="Courier New" w:hAnsi="Courier New" w:cs="Courier New" w:hint="default"/>
      </w:rPr>
    </w:lvl>
    <w:lvl w:ilvl="5" w:tplc="04020005" w:tentative="1">
      <w:start w:val="1"/>
      <w:numFmt w:val="bullet"/>
      <w:lvlText w:val=""/>
      <w:lvlJc w:val="left"/>
      <w:pPr>
        <w:ind w:left="4390" w:hanging="360"/>
      </w:pPr>
      <w:rPr>
        <w:rFonts w:ascii="Wingdings" w:hAnsi="Wingdings" w:hint="default"/>
      </w:rPr>
    </w:lvl>
    <w:lvl w:ilvl="6" w:tplc="04020001" w:tentative="1">
      <w:start w:val="1"/>
      <w:numFmt w:val="bullet"/>
      <w:lvlText w:val=""/>
      <w:lvlJc w:val="left"/>
      <w:pPr>
        <w:ind w:left="5110" w:hanging="360"/>
      </w:pPr>
      <w:rPr>
        <w:rFonts w:ascii="Symbol" w:hAnsi="Symbol" w:hint="default"/>
      </w:rPr>
    </w:lvl>
    <w:lvl w:ilvl="7" w:tplc="04020003" w:tentative="1">
      <w:start w:val="1"/>
      <w:numFmt w:val="bullet"/>
      <w:lvlText w:val="o"/>
      <w:lvlJc w:val="left"/>
      <w:pPr>
        <w:ind w:left="5830" w:hanging="360"/>
      </w:pPr>
      <w:rPr>
        <w:rFonts w:ascii="Courier New" w:hAnsi="Courier New" w:cs="Courier New" w:hint="default"/>
      </w:rPr>
    </w:lvl>
    <w:lvl w:ilvl="8" w:tplc="04020005" w:tentative="1">
      <w:start w:val="1"/>
      <w:numFmt w:val="bullet"/>
      <w:lvlText w:val=""/>
      <w:lvlJc w:val="left"/>
      <w:pPr>
        <w:ind w:left="6550" w:hanging="360"/>
      </w:pPr>
      <w:rPr>
        <w:rFonts w:ascii="Wingdings" w:hAnsi="Wingdings" w:hint="default"/>
      </w:rPr>
    </w:lvl>
  </w:abstractNum>
  <w:abstractNum w:abstractNumId="11">
    <w:nsid w:val="19D94938"/>
    <w:multiLevelType w:val="hybridMultilevel"/>
    <w:tmpl w:val="5C20C4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B10645F"/>
    <w:multiLevelType w:val="hybridMultilevel"/>
    <w:tmpl w:val="CEC4AA4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1EA85903"/>
    <w:multiLevelType w:val="hybridMultilevel"/>
    <w:tmpl w:val="A1E432E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8CD0DCA"/>
    <w:multiLevelType w:val="hybridMultilevel"/>
    <w:tmpl w:val="407A10D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5">
    <w:nsid w:val="2DB77624"/>
    <w:multiLevelType w:val="hybridMultilevel"/>
    <w:tmpl w:val="F71820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0D801C5"/>
    <w:multiLevelType w:val="hybridMultilevel"/>
    <w:tmpl w:val="0E2287A4"/>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0F141CD"/>
    <w:multiLevelType w:val="hybridMultilevel"/>
    <w:tmpl w:val="3D901C38"/>
    <w:lvl w:ilvl="0" w:tplc="CFF44C7A">
      <w:start w:val="1"/>
      <w:numFmt w:val="bullet"/>
      <w:lvlText w:val="-"/>
      <w:lvlJc w:val="left"/>
      <w:pPr>
        <w:ind w:left="720" w:hanging="360"/>
      </w:pPr>
      <w:rPr>
        <w:rFonts w:ascii="Verdana" w:eastAsia="ArialMT" w:hAnsi="Verdana" w:cs="ArialMT"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16A7530"/>
    <w:multiLevelType w:val="hybridMultilevel"/>
    <w:tmpl w:val="1CD2030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2A6576A"/>
    <w:multiLevelType w:val="hybridMultilevel"/>
    <w:tmpl w:val="7BA616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3614292"/>
    <w:multiLevelType w:val="hybridMultilevel"/>
    <w:tmpl w:val="D5269D64"/>
    <w:lvl w:ilvl="0" w:tplc="8490009C">
      <w:start w:val="103"/>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EB5680D"/>
    <w:multiLevelType w:val="hybridMultilevel"/>
    <w:tmpl w:val="EEE2FF0A"/>
    <w:lvl w:ilvl="0" w:tplc="FC3AF512">
      <w:start w:val="7"/>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2">
    <w:nsid w:val="412D1694"/>
    <w:multiLevelType w:val="hybridMultilevel"/>
    <w:tmpl w:val="8B4ED39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1C43821"/>
    <w:multiLevelType w:val="hybridMultilevel"/>
    <w:tmpl w:val="3F24D97E"/>
    <w:lvl w:ilvl="0" w:tplc="FC3AF512">
      <w:start w:val="7"/>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A8A4D78"/>
    <w:multiLevelType w:val="hybridMultilevel"/>
    <w:tmpl w:val="8458A8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B9D78C9"/>
    <w:multiLevelType w:val="hybridMultilevel"/>
    <w:tmpl w:val="F9EC81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1631035"/>
    <w:multiLevelType w:val="hybridMultilevel"/>
    <w:tmpl w:val="DD8E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31C2E70"/>
    <w:multiLevelType w:val="hybridMultilevel"/>
    <w:tmpl w:val="7E32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805504"/>
    <w:multiLevelType w:val="hybridMultilevel"/>
    <w:tmpl w:val="2C46013C"/>
    <w:lvl w:ilvl="0" w:tplc="8AC8B31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1">
    <w:nsid w:val="59265B95"/>
    <w:multiLevelType w:val="hybridMultilevel"/>
    <w:tmpl w:val="66BA5A3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ACE4743"/>
    <w:multiLevelType w:val="hybridMultilevel"/>
    <w:tmpl w:val="0FB2A4F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3">
    <w:nsid w:val="5ADD2518"/>
    <w:multiLevelType w:val="hybridMultilevel"/>
    <w:tmpl w:val="9BFE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B02DF7"/>
    <w:multiLevelType w:val="hybridMultilevel"/>
    <w:tmpl w:val="4C9094BC"/>
    <w:lvl w:ilvl="0" w:tplc="0402000F">
      <w:start w:val="1"/>
      <w:numFmt w:val="decimal"/>
      <w:lvlText w:val="%1."/>
      <w:lvlJc w:val="left"/>
      <w:pPr>
        <w:ind w:left="19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2DC6368"/>
    <w:multiLevelType w:val="hybridMultilevel"/>
    <w:tmpl w:val="C4DA86FA"/>
    <w:lvl w:ilvl="0" w:tplc="94201D0C">
      <w:numFmt w:val="bullet"/>
      <w:lvlText w:val=""/>
      <w:lvlJc w:val="left"/>
      <w:pPr>
        <w:ind w:left="1440" w:hanging="360"/>
      </w:pPr>
      <w:rPr>
        <w:rFonts w:ascii="Symbol" w:eastAsia="Calibri" w:hAnsi="Symbol" w:cs="Calibri" w:hint="default"/>
        <w:color w:val="auto"/>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8">
    <w:nsid w:val="6569492F"/>
    <w:multiLevelType w:val="hybridMultilevel"/>
    <w:tmpl w:val="82D0E68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93D1A5C"/>
    <w:multiLevelType w:val="multilevel"/>
    <w:tmpl w:val="564C237C"/>
    <w:lvl w:ilvl="0">
      <w:start w:val="1"/>
      <w:numFmt w:val="decimal"/>
      <w:pStyle w:val="Heading1"/>
      <w:lvlText w:val="%1."/>
      <w:lvlJc w:val="left"/>
      <w:pPr>
        <w:ind w:left="360" w:hanging="360"/>
      </w:pPr>
      <w:rPr>
        <w:color w:val="C45911"/>
      </w:rPr>
    </w:lvl>
    <w:lvl w:ilvl="1">
      <w:start w:val="1"/>
      <w:numFmt w:val="decimal"/>
      <w:pStyle w:val="Heading2"/>
      <w:lvlText w:val="%1.%2."/>
      <w:lvlJc w:val="left"/>
      <w:pPr>
        <w:tabs>
          <w:tab w:val="num" w:pos="720"/>
        </w:tabs>
        <w:ind w:left="720" w:hanging="720"/>
      </w:pPr>
      <w:rPr>
        <w:i w:val="0"/>
      </w:rPr>
    </w:lvl>
    <w:lvl w:ilvl="2">
      <w:start w:val="1"/>
      <w:numFmt w:val="decimal"/>
      <w:pStyle w:val="Heading3"/>
      <w:lvlText w:val="%1.%2.%3."/>
      <w:lvlJc w:val="left"/>
      <w:pPr>
        <w:tabs>
          <w:tab w:val="num" w:pos="2520"/>
        </w:tabs>
        <w:ind w:left="2520" w:hanging="720"/>
      </w:pPr>
      <w:rPr>
        <w:sz w:val="20"/>
      </w:r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9716610"/>
    <w:multiLevelType w:val="hybridMultilevel"/>
    <w:tmpl w:val="7DB8712E"/>
    <w:lvl w:ilvl="0" w:tplc="0402000F">
      <w:start w:val="1"/>
      <w:numFmt w:val="decimal"/>
      <w:lvlText w:val="%1."/>
      <w:lvlJc w:val="left"/>
      <w:pPr>
        <w:ind w:left="1065" w:hanging="705"/>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69926181"/>
    <w:multiLevelType w:val="hybridMultilevel"/>
    <w:tmpl w:val="D908CB0C"/>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6C8D1C47"/>
    <w:multiLevelType w:val="hybridMultilevel"/>
    <w:tmpl w:val="116CD7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27530DB"/>
    <w:multiLevelType w:val="hybridMultilevel"/>
    <w:tmpl w:val="15A2419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773F7CEF"/>
    <w:multiLevelType w:val="hybridMultilevel"/>
    <w:tmpl w:val="63448A66"/>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7D9E70FD"/>
    <w:multiLevelType w:val="hybridMultilevel"/>
    <w:tmpl w:val="BFC0D33E"/>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9"/>
  </w:num>
  <w:num w:numId="2">
    <w:abstractNumId w:val="28"/>
  </w:num>
  <w:num w:numId="3">
    <w:abstractNumId w:val="35"/>
  </w:num>
  <w:num w:numId="4">
    <w:abstractNumId w:val="20"/>
  </w:num>
  <w:num w:numId="5">
    <w:abstractNumId w:val="42"/>
  </w:num>
  <w:num w:numId="6">
    <w:abstractNumId w:val="24"/>
  </w:num>
  <w:num w:numId="7">
    <w:abstractNumId w:val="39"/>
  </w:num>
  <w:num w:numId="8">
    <w:abstractNumId w:val="39"/>
  </w:num>
  <w:num w:numId="9">
    <w:abstractNumId w:val="0"/>
  </w:num>
  <w:num w:numId="10">
    <w:abstractNumId w:val="13"/>
  </w:num>
  <w:num w:numId="11">
    <w:abstractNumId w:val="18"/>
  </w:num>
  <w:num w:numId="12">
    <w:abstractNumId w:val="39"/>
  </w:num>
  <w:num w:numId="13">
    <w:abstractNumId w:val="41"/>
  </w:num>
  <w:num w:numId="14">
    <w:abstractNumId w:val="44"/>
  </w:num>
  <w:num w:numId="15">
    <w:abstractNumId w:val="38"/>
  </w:num>
  <w:num w:numId="16">
    <w:abstractNumId w:val="39"/>
  </w:num>
  <w:num w:numId="17">
    <w:abstractNumId w:val="6"/>
  </w:num>
  <w:num w:numId="18">
    <w:abstractNumId w:val="16"/>
  </w:num>
  <w:num w:numId="19">
    <w:abstractNumId w:val="3"/>
  </w:num>
  <w:num w:numId="20">
    <w:abstractNumId w:val="39"/>
  </w:num>
  <w:num w:numId="21">
    <w:abstractNumId w:val="43"/>
  </w:num>
  <w:num w:numId="22">
    <w:abstractNumId w:val="39"/>
  </w:num>
  <w:num w:numId="23">
    <w:abstractNumId w:val="19"/>
  </w:num>
  <w:num w:numId="24">
    <w:abstractNumId w:val="8"/>
  </w:num>
  <w:num w:numId="25">
    <w:abstractNumId w:val="39"/>
  </w:num>
  <w:num w:numId="26">
    <w:abstractNumId w:val="39"/>
  </w:num>
  <w:num w:numId="27">
    <w:abstractNumId w:val="39"/>
  </w:num>
  <w:num w:numId="28">
    <w:abstractNumId w:val="39"/>
  </w:num>
  <w:num w:numId="29">
    <w:abstractNumId w:val="31"/>
  </w:num>
  <w:num w:numId="30">
    <w:abstractNumId w:val="5"/>
  </w:num>
  <w:num w:numId="31">
    <w:abstractNumId w:val="34"/>
  </w:num>
  <w:num w:numId="32">
    <w:abstractNumId w:val="9"/>
  </w:num>
  <w:num w:numId="33">
    <w:abstractNumId w:val="15"/>
  </w:num>
  <w:num w:numId="34">
    <w:abstractNumId w:val="26"/>
  </w:num>
  <w:num w:numId="35">
    <w:abstractNumId w:val="1"/>
  </w:num>
  <w:num w:numId="36">
    <w:abstractNumId w:val="11"/>
  </w:num>
  <w:num w:numId="37">
    <w:abstractNumId w:val="36"/>
  </w:num>
  <w:num w:numId="38">
    <w:abstractNumId w:val="27"/>
  </w:num>
  <w:num w:numId="39">
    <w:abstractNumId w:val="39"/>
  </w:num>
  <w:num w:numId="40">
    <w:abstractNumId w:val="39"/>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33"/>
  </w:num>
  <w:num w:numId="44">
    <w:abstractNumId w:val="23"/>
  </w:num>
  <w:num w:numId="45">
    <w:abstractNumId w:val="30"/>
  </w:num>
  <w:num w:numId="46">
    <w:abstractNumId w:val="21"/>
  </w:num>
  <w:num w:numId="47">
    <w:abstractNumId w:val="32"/>
  </w:num>
  <w:num w:numId="48">
    <w:abstractNumId w:val="7"/>
  </w:num>
  <w:num w:numId="49">
    <w:abstractNumId w:val="14"/>
  </w:num>
  <w:num w:numId="50">
    <w:abstractNumId w:val="39"/>
  </w:num>
  <w:num w:numId="51">
    <w:abstractNumId w:val="39"/>
  </w:num>
  <w:num w:numId="52">
    <w:abstractNumId w:val="39"/>
  </w:num>
  <w:num w:numId="53">
    <w:abstractNumId w:val="39"/>
  </w:num>
  <w:num w:numId="54">
    <w:abstractNumId w:val="39"/>
  </w:num>
  <w:num w:numId="55">
    <w:abstractNumId w:val="17"/>
  </w:num>
  <w:num w:numId="56">
    <w:abstractNumId w:val="12"/>
  </w:num>
  <w:num w:numId="57">
    <w:abstractNumId w:val="29"/>
  </w:num>
  <w:num w:numId="58">
    <w:abstractNumId w:val="39"/>
  </w:num>
  <w:num w:numId="59">
    <w:abstractNumId w:val="39"/>
  </w:num>
  <w:num w:numId="60">
    <w:abstractNumId w:val="39"/>
  </w:num>
  <w:num w:numId="61">
    <w:abstractNumId w:val="45"/>
  </w:num>
  <w:num w:numId="62">
    <w:abstractNumId w:val="39"/>
  </w:num>
  <w:num w:numId="63">
    <w:abstractNumId w:val="39"/>
  </w:num>
  <w:num w:numId="64">
    <w:abstractNumId w:val="4"/>
  </w:num>
  <w:num w:numId="65">
    <w:abstractNumId w:val="37"/>
  </w:num>
  <w:num w:numId="66">
    <w:abstractNumId w:val="39"/>
  </w:num>
  <w:num w:numId="67">
    <w:abstractNumId w:val="22"/>
  </w:num>
  <w:num w:numId="68">
    <w:abstractNumId w:val="10"/>
  </w:num>
  <w:num w:numId="69">
    <w:abstractNumId w:val="25"/>
  </w:num>
  <w:num w:numId="70">
    <w:abstractNumId w:val="40"/>
  </w:num>
  <w:num w:numId="71">
    <w:abstractNumId w:val="39"/>
  </w:num>
  <w:num w:numId="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5DA"/>
    <w:rsid w:val="00000070"/>
    <w:rsid w:val="000011A3"/>
    <w:rsid w:val="00001ABF"/>
    <w:rsid w:val="00002BED"/>
    <w:rsid w:val="00005F6A"/>
    <w:rsid w:val="000060E7"/>
    <w:rsid w:val="00007C4A"/>
    <w:rsid w:val="00010D38"/>
    <w:rsid w:val="00011BA1"/>
    <w:rsid w:val="00014018"/>
    <w:rsid w:val="00015170"/>
    <w:rsid w:val="0001597D"/>
    <w:rsid w:val="000170E7"/>
    <w:rsid w:val="000203E0"/>
    <w:rsid w:val="000204B5"/>
    <w:rsid w:val="000214B0"/>
    <w:rsid w:val="00023E6F"/>
    <w:rsid w:val="000255D1"/>
    <w:rsid w:val="00026525"/>
    <w:rsid w:val="00026677"/>
    <w:rsid w:val="00026D79"/>
    <w:rsid w:val="00026E11"/>
    <w:rsid w:val="00031497"/>
    <w:rsid w:val="000314B7"/>
    <w:rsid w:val="000318E6"/>
    <w:rsid w:val="000337FF"/>
    <w:rsid w:val="00033DCB"/>
    <w:rsid w:val="00034F6A"/>
    <w:rsid w:val="00035338"/>
    <w:rsid w:val="000358E8"/>
    <w:rsid w:val="00035A92"/>
    <w:rsid w:val="00036AE9"/>
    <w:rsid w:val="00036CFB"/>
    <w:rsid w:val="000370B2"/>
    <w:rsid w:val="000402DF"/>
    <w:rsid w:val="00040CC9"/>
    <w:rsid w:val="00041C9D"/>
    <w:rsid w:val="000421B6"/>
    <w:rsid w:val="00043C21"/>
    <w:rsid w:val="00044516"/>
    <w:rsid w:val="00044DD2"/>
    <w:rsid w:val="00045550"/>
    <w:rsid w:val="0004586F"/>
    <w:rsid w:val="00045AC2"/>
    <w:rsid w:val="00046D6C"/>
    <w:rsid w:val="00046DC3"/>
    <w:rsid w:val="00050D39"/>
    <w:rsid w:val="00051857"/>
    <w:rsid w:val="00051AF0"/>
    <w:rsid w:val="0005245E"/>
    <w:rsid w:val="00052F5E"/>
    <w:rsid w:val="00053FAB"/>
    <w:rsid w:val="000543D9"/>
    <w:rsid w:val="0005469B"/>
    <w:rsid w:val="00056FB2"/>
    <w:rsid w:val="00057188"/>
    <w:rsid w:val="00057CCD"/>
    <w:rsid w:val="0006057F"/>
    <w:rsid w:val="00060DD0"/>
    <w:rsid w:val="00061059"/>
    <w:rsid w:val="000612BA"/>
    <w:rsid w:val="000612C1"/>
    <w:rsid w:val="000615C3"/>
    <w:rsid w:val="00061F58"/>
    <w:rsid w:val="00062185"/>
    <w:rsid w:val="00062667"/>
    <w:rsid w:val="000648F2"/>
    <w:rsid w:val="00064D86"/>
    <w:rsid w:val="0006593F"/>
    <w:rsid w:val="00065999"/>
    <w:rsid w:val="00065B29"/>
    <w:rsid w:val="00066D72"/>
    <w:rsid w:val="00070541"/>
    <w:rsid w:val="00072263"/>
    <w:rsid w:val="00072E86"/>
    <w:rsid w:val="00073058"/>
    <w:rsid w:val="000744E0"/>
    <w:rsid w:val="0007496F"/>
    <w:rsid w:val="00075FCB"/>
    <w:rsid w:val="000764F3"/>
    <w:rsid w:val="00076B01"/>
    <w:rsid w:val="00076C1E"/>
    <w:rsid w:val="0007702F"/>
    <w:rsid w:val="000809F1"/>
    <w:rsid w:val="000812BC"/>
    <w:rsid w:val="00082642"/>
    <w:rsid w:val="000830E6"/>
    <w:rsid w:val="00083760"/>
    <w:rsid w:val="00083762"/>
    <w:rsid w:val="000843D6"/>
    <w:rsid w:val="00084F44"/>
    <w:rsid w:val="00085307"/>
    <w:rsid w:val="00085693"/>
    <w:rsid w:val="000857B0"/>
    <w:rsid w:val="00085B08"/>
    <w:rsid w:val="0008634B"/>
    <w:rsid w:val="0008653A"/>
    <w:rsid w:val="00086D65"/>
    <w:rsid w:val="00090FFF"/>
    <w:rsid w:val="0009400F"/>
    <w:rsid w:val="000947AE"/>
    <w:rsid w:val="00094D1B"/>
    <w:rsid w:val="000951D9"/>
    <w:rsid w:val="0009523C"/>
    <w:rsid w:val="00095BE0"/>
    <w:rsid w:val="000960BD"/>
    <w:rsid w:val="00096DC9"/>
    <w:rsid w:val="00097100"/>
    <w:rsid w:val="00097274"/>
    <w:rsid w:val="000975E1"/>
    <w:rsid w:val="0009775C"/>
    <w:rsid w:val="000A08DF"/>
    <w:rsid w:val="000A13F1"/>
    <w:rsid w:val="000A1890"/>
    <w:rsid w:val="000A2C8F"/>
    <w:rsid w:val="000A2D0B"/>
    <w:rsid w:val="000A374F"/>
    <w:rsid w:val="000A4ACD"/>
    <w:rsid w:val="000A79BD"/>
    <w:rsid w:val="000B0907"/>
    <w:rsid w:val="000B1836"/>
    <w:rsid w:val="000B2A16"/>
    <w:rsid w:val="000B2DF7"/>
    <w:rsid w:val="000B3802"/>
    <w:rsid w:val="000B4B9C"/>
    <w:rsid w:val="000B51D2"/>
    <w:rsid w:val="000B6D33"/>
    <w:rsid w:val="000B6E9D"/>
    <w:rsid w:val="000B6F67"/>
    <w:rsid w:val="000B7DFD"/>
    <w:rsid w:val="000C0269"/>
    <w:rsid w:val="000C02CB"/>
    <w:rsid w:val="000C2284"/>
    <w:rsid w:val="000C3492"/>
    <w:rsid w:val="000C40F3"/>
    <w:rsid w:val="000C426A"/>
    <w:rsid w:val="000C4471"/>
    <w:rsid w:val="000C4EAF"/>
    <w:rsid w:val="000C522F"/>
    <w:rsid w:val="000C6222"/>
    <w:rsid w:val="000C6A44"/>
    <w:rsid w:val="000C7A50"/>
    <w:rsid w:val="000D0726"/>
    <w:rsid w:val="000D0AC3"/>
    <w:rsid w:val="000D1890"/>
    <w:rsid w:val="000D2415"/>
    <w:rsid w:val="000D362A"/>
    <w:rsid w:val="000D420F"/>
    <w:rsid w:val="000D6180"/>
    <w:rsid w:val="000D69CF"/>
    <w:rsid w:val="000D72FB"/>
    <w:rsid w:val="000D7E38"/>
    <w:rsid w:val="000E0525"/>
    <w:rsid w:val="000E1158"/>
    <w:rsid w:val="000E2721"/>
    <w:rsid w:val="000E27B2"/>
    <w:rsid w:val="000E2D03"/>
    <w:rsid w:val="000E4DF0"/>
    <w:rsid w:val="000E6A2F"/>
    <w:rsid w:val="000E6D80"/>
    <w:rsid w:val="000E7A3A"/>
    <w:rsid w:val="000F051A"/>
    <w:rsid w:val="000F0544"/>
    <w:rsid w:val="000F0E8B"/>
    <w:rsid w:val="000F2507"/>
    <w:rsid w:val="000F2E9F"/>
    <w:rsid w:val="000F380D"/>
    <w:rsid w:val="000F60B4"/>
    <w:rsid w:val="000F6284"/>
    <w:rsid w:val="00100313"/>
    <w:rsid w:val="001003BD"/>
    <w:rsid w:val="001005F2"/>
    <w:rsid w:val="001027DF"/>
    <w:rsid w:val="0010291A"/>
    <w:rsid w:val="00103223"/>
    <w:rsid w:val="001035EC"/>
    <w:rsid w:val="00104F23"/>
    <w:rsid w:val="001058F4"/>
    <w:rsid w:val="00106C35"/>
    <w:rsid w:val="00107234"/>
    <w:rsid w:val="0010783E"/>
    <w:rsid w:val="00110824"/>
    <w:rsid w:val="00110897"/>
    <w:rsid w:val="00110ADA"/>
    <w:rsid w:val="0011162A"/>
    <w:rsid w:val="00113524"/>
    <w:rsid w:val="00114AFE"/>
    <w:rsid w:val="00114F60"/>
    <w:rsid w:val="00115069"/>
    <w:rsid w:val="001158D3"/>
    <w:rsid w:val="0011699C"/>
    <w:rsid w:val="00120907"/>
    <w:rsid w:val="00121964"/>
    <w:rsid w:val="001219C0"/>
    <w:rsid w:val="0012214B"/>
    <w:rsid w:val="00122655"/>
    <w:rsid w:val="001230DC"/>
    <w:rsid w:val="00123A8C"/>
    <w:rsid w:val="00123CBC"/>
    <w:rsid w:val="00125D5D"/>
    <w:rsid w:val="00126E39"/>
    <w:rsid w:val="00130008"/>
    <w:rsid w:val="00130888"/>
    <w:rsid w:val="001317AB"/>
    <w:rsid w:val="0013219A"/>
    <w:rsid w:val="00132452"/>
    <w:rsid w:val="001329D9"/>
    <w:rsid w:val="00132D7D"/>
    <w:rsid w:val="00132F82"/>
    <w:rsid w:val="001350A7"/>
    <w:rsid w:val="001350AF"/>
    <w:rsid w:val="001356CE"/>
    <w:rsid w:val="00136A64"/>
    <w:rsid w:val="00140183"/>
    <w:rsid w:val="00140242"/>
    <w:rsid w:val="0014089B"/>
    <w:rsid w:val="00140FB2"/>
    <w:rsid w:val="00141676"/>
    <w:rsid w:val="00141BAC"/>
    <w:rsid w:val="00143359"/>
    <w:rsid w:val="00146244"/>
    <w:rsid w:val="00146727"/>
    <w:rsid w:val="0014755F"/>
    <w:rsid w:val="0015047E"/>
    <w:rsid w:val="00150B61"/>
    <w:rsid w:val="00150E55"/>
    <w:rsid w:val="00150F4D"/>
    <w:rsid w:val="0015101D"/>
    <w:rsid w:val="0015145C"/>
    <w:rsid w:val="00151D00"/>
    <w:rsid w:val="00151F36"/>
    <w:rsid w:val="00152388"/>
    <w:rsid w:val="001535AE"/>
    <w:rsid w:val="00153A6D"/>
    <w:rsid w:val="00154F2A"/>
    <w:rsid w:val="00156E81"/>
    <w:rsid w:val="001579DB"/>
    <w:rsid w:val="00157C7A"/>
    <w:rsid w:val="00160C8B"/>
    <w:rsid w:val="001610DB"/>
    <w:rsid w:val="00161C6D"/>
    <w:rsid w:val="00161F93"/>
    <w:rsid w:val="00163954"/>
    <w:rsid w:val="001645CE"/>
    <w:rsid w:val="001649C3"/>
    <w:rsid w:val="001650DB"/>
    <w:rsid w:val="00167156"/>
    <w:rsid w:val="001676A9"/>
    <w:rsid w:val="00167E41"/>
    <w:rsid w:val="00171989"/>
    <w:rsid w:val="001719ED"/>
    <w:rsid w:val="001728DE"/>
    <w:rsid w:val="0017337A"/>
    <w:rsid w:val="00173F8A"/>
    <w:rsid w:val="00174C4F"/>
    <w:rsid w:val="0017583C"/>
    <w:rsid w:val="0017595D"/>
    <w:rsid w:val="00176861"/>
    <w:rsid w:val="001771EB"/>
    <w:rsid w:val="00177865"/>
    <w:rsid w:val="00177870"/>
    <w:rsid w:val="00177AC2"/>
    <w:rsid w:val="00180BFB"/>
    <w:rsid w:val="00180E0C"/>
    <w:rsid w:val="001813AD"/>
    <w:rsid w:val="001818EC"/>
    <w:rsid w:val="00181F48"/>
    <w:rsid w:val="00182B81"/>
    <w:rsid w:val="001833F1"/>
    <w:rsid w:val="001840FC"/>
    <w:rsid w:val="00184D8D"/>
    <w:rsid w:val="001872AD"/>
    <w:rsid w:val="001873A6"/>
    <w:rsid w:val="00190BF9"/>
    <w:rsid w:val="00191730"/>
    <w:rsid w:val="001917A7"/>
    <w:rsid w:val="00193C22"/>
    <w:rsid w:val="00194001"/>
    <w:rsid w:val="00194291"/>
    <w:rsid w:val="001944E1"/>
    <w:rsid w:val="00194B4F"/>
    <w:rsid w:val="00195158"/>
    <w:rsid w:val="001952B3"/>
    <w:rsid w:val="001956E0"/>
    <w:rsid w:val="00195EC8"/>
    <w:rsid w:val="00197987"/>
    <w:rsid w:val="00197CC1"/>
    <w:rsid w:val="001A08D2"/>
    <w:rsid w:val="001A14E9"/>
    <w:rsid w:val="001A1752"/>
    <w:rsid w:val="001A1B51"/>
    <w:rsid w:val="001A2F33"/>
    <w:rsid w:val="001A3C22"/>
    <w:rsid w:val="001A572B"/>
    <w:rsid w:val="001A57C8"/>
    <w:rsid w:val="001B04C6"/>
    <w:rsid w:val="001B0975"/>
    <w:rsid w:val="001B0C56"/>
    <w:rsid w:val="001B14A1"/>
    <w:rsid w:val="001B16EB"/>
    <w:rsid w:val="001B1D91"/>
    <w:rsid w:val="001B1F85"/>
    <w:rsid w:val="001B20BA"/>
    <w:rsid w:val="001B247A"/>
    <w:rsid w:val="001B26B8"/>
    <w:rsid w:val="001B4B5F"/>
    <w:rsid w:val="001B5611"/>
    <w:rsid w:val="001B5788"/>
    <w:rsid w:val="001B6D48"/>
    <w:rsid w:val="001B6D6B"/>
    <w:rsid w:val="001C1A22"/>
    <w:rsid w:val="001C1C53"/>
    <w:rsid w:val="001C22A2"/>
    <w:rsid w:val="001C3579"/>
    <w:rsid w:val="001C37E6"/>
    <w:rsid w:val="001C3EFE"/>
    <w:rsid w:val="001C4B5C"/>
    <w:rsid w:val="001C550D"/>
    <w:rsid w:val="001C6886"/>
    <w:rsid w:val="001C6BD3"/>
    <w:rsid w:val="001C7072"/>
    <w:rsid w:val="001C75AC"/>
    <w:rsid w:val="001D0096"/>
    <w:rsid w:val="001D13E8"/>
    <w:rsid w:val="001D1509"/>
    <w:rsid w:val="001D23B5"/>
    <w:rsid w:val="001D4131"/>
    <w:rsid w:val="001D413F"/>
    <w:rsid w:val="001D5617"/>
    <w:rsid w:val="001D60B9"/>
    <w:rsid w:val="001D644B"/>
    <w:rsid w:val="001D6E10"/>
    <w:rsid w:val="001D70CE"/>
    <w:rsid w:val="001E0828"/>
    <w:rsid w:val="001E11BB"/>
    <w:rsid w:val="001E15B4"/>
    <w:rsid w:val="001E16B5"/>
    <w:rsid w:val="001E2846"/>
    <w:rsid w:val="001E2C2A"/>
    <w:rsid w:val="001E315C"/>
    <w:rsid w:val="001E3A3F"/>
    <w:rsid w:val="001E4603"/>
    <w:rsid w:val="001E4A79"/>
    <w:rsid w:val="001E609F"/>
    <w:rsid w:val="001E71FC"/>
    <w:rsid w:val="001E79F2"/>
    <w:rsid w:val="001E7CD0"/>
    <w:rsid w:val="001F02B2"/>
    <w:rsid w:val="001F0AB0"/>
    <w:rsid w:val="001F1BBB"/>
    <w:rsid w:val="001F3A18"/>
    <w:rsid w:val="001F4EBE"/>
    <w:rsid w:val="001F5A45"/>
    <w:rsid w:val="001F666D"/>
    <w:rsid w:val="001F721A"/>
    <w:rsid w:val="001F7682"/>
    <w:rsid w:val="0020110C"/>
    <w:rsid w:val="00202794"/>
    <w:rsid w:val="00204859"/>
    <w:rsid w:val="00205435"/>
    <w:rsid w:val="00205472"/>
    <w:rsid w:val="0020597B"/>
    <w:rsid w:val="00207377"/>
    <w:rsid w:val="00207818"/>
    <w:rsid w:val="0021048C"/>
    <w:rsid w:val="00211EF7"/>
    <w:rsid w:val="0021212E"/>
    <w:rsid w:val="00212EA1"/>
    <w:rsid w:val="0021341F"/>
    <w:rsid w:val="00214F4A"/>
    <w:rsid w:val="00215143"/>
    <w:rsid w:val="002158E1"/>
    <w:rsid w:val="00216724"/>
    <w:rsid w:val="0021758D"/>
    <w:rsid w:val="00217F31"/>
    <w:rsid w:val="00221CE1"/>
    <w:rsid w:val="00222D30"/>
    <w:rsid w:val="00223362"/>
    <w:rsid w:val="002241D6"/>
    <w:rsid w:val="002247A5"/>
    <w:rsid w:val="002268ED"/>
    <w:rsid w:val="00227607"/>
    <w:rsid w:val="002300FD"/>
    <w:rsid w:val="00230CC1"/>
    <w:rsid w:val="00230CEA"/>
    <w:rsid w:val="002318D6"/>
    <w:rsid w:val="00231996"/>
    <w:rsid w:val="00233C56"/>
    <w:rsid w:val="00237656"/>
    <w:rsid w:val="00240EDD"/>
    <w:rsid w:val="00241D71"/>
    <w:rsid w:val="00242B15"/>
    <w:rsid w:val="00243022"/>
    <w:rsid w:val="002446BD"/>
    <w:rsid w:val="00244C5D"/>
    <w:rsid w:val="00245FF8"/>
    <w:rsid w:val="0024605C"/>
    <w:rsid w:val="00246A30"/>
    <w:rsid w:val="002509CF"/>
    <w:rsid w:val="00250DB2"/>
    <w:rsid w:val="002523D7"/>
    <w:rsid w:val="002527EB"/>
    <w:rsid w:val="00252916"/>
    <w:rsid w:val="00252C5E"/>
    <w:rsid w:val="00252F90"/>
    <w:rsid w:val="0025368C"/>
    <w:rsid w:val="0025456F"/>
    <w:rsid w:val="0025790D"/>
    <w:rsid w:val="002579B2"/>
    <w:rsid w:val="002611F8"/>
    <w:rsid w:val="00262E5F"/>
    <w:rsid w:val="00262FD0"/>
    <w:rsid w:val="00263A5F"/>
    <w:rsid w:val="002642AC"/>
    <w:rsid w:val="0026498B"/>
    <w:rsid w:val="00264AF1"/>
    <w:rsid w:val="0026538B"/>
    <w:rsid w:val="0026656C"/>
    <w:rsid w:val="0026672A"/>
    <w:rsid w:val="00266F8A"/>
    <w:rsid w:val="002674A3"/>
    <w:rsid w:val="00267FD3"/>
    <w:rsid w:val="00272437"/>
    <w:rsid w:val="00272E02"/>
    <w:rsid w:val="00274346"/>
    <w:rsid w:val="0027445E"/>
    <w:rsid w:val="00274E61"/>
    <w:rsid w:val="00274F09"/>
    <w:rsid w:val="00275D78"/>
    <w:rsid w:val="00276872"/>
    <w:rsid w:val="00277A99"/>
    <w:rsid w:val="002800F6"/>
    <w:rsid w:val="0028084D"/>
    <w:rsid w:val="0028129C"/>
    <w:rsid w:val="00281730"/>
    <w:rsid w:val="00282009"/>
    <w:rsid w:val="002825C2"/>
    <w:rsid w:val="00283253"/>
    <w:rsid w:val="002842B7"/>
    <w:rsid w:val="00284425"/>
    <w:rsid w:val="00285952"/>
    <w:rsid w:val="00287C5A"/>
    <w:rsid w:val="00290138"/>
    <w:rsid w:val="00290CB7"/>
    <w:rsid w:val="0029106F"/>
    <w:rsid w:val="00291DA3"/>
    <w:rsid w:val="00292E10"/>
    <w:rsid w:val="0029348E"/>
    <w:rsid w:val="002939AD"/>
    <w:rsid w:val="00293A8B"/>
    <w:rsid w:val="0029460A"/>
    <w:rsid w:val="00295166"/>
    <w:rsid w:val="00296DB2"/>
    <w:rsid w:val="002A0DC7"/>
    <w:rsid w:val="002A1D2F"/>
    <w:rsid w:val="002A1D56"/>
    <w:rsid w:val="002A1ED5"/>
    <w:rsid w:val="002A28DB"/>
    <w:rsid w:val="002A3324"/>
    <w:rsid w:val="002A3506"/>
    <w:rsid w:val="002A38A9"/>
    <w:rsid w:val="002A3A5B"/>
    <w:rsid w:val="002A4341"/>
    <w:rsid w:val="002A4615"/>
    <w:rsid w:val="002A504C"/>
    <w:rsid w:val="002A50D1"/>
    <w:rsid w:val="002A6005"/>
    <w:rsid w:val="002A6A61"/>
    <w:rsid w:val="002B1805"/>
    <w:rsid w:val="002B1FBD"/>
    <w:rsid w:val="002B31A9"/>
    <w:rsid w:val="002B362B"/>
    <w:rsid w:val="002B40BB"/>
    <w:rsid w:val="002B496F"/>
    <w:rsid w:val="002B4B2A"/>
    <w:rsid w:val="002B4C12"/>
    <w:rsid w:val="002B4E35"/>
    <w:rsid w:val="002C0FD9"/>
    <w:rsid w:val="002C15BB"/>
    <w:rsid w:val="002C1863"/>
    <w:rsid w:val="002C1FFB"/>
    <w:rsid w:val="002C2AC7"/>
    <w:rsid w:val="002C2E9E"/>
    <w:rsid w:val="002C3B4E"/>
    <w:rsid w:val="002C4978"/>
    <w:rsid w:val="002C4B11"/>
    <w:rsid w:val="002C50A8"/>
    <w:rsid w:val="002C550B"/>
    <w:rsid w:val="002C5B70"/>
    <w:rsid w:val="002C64ED"/>
    <w:rsid w:val="002C73C2"/>
    <w:rsid w:val="002C78A8"/>
    <w:rsid w:val="002D0AD9"/>
    <w:rsid w:val="002D1944"/>
    <w:rsid w:val="002D2895"/>
    <w:rsid w:val="002D2925"/>
    <w:rsid w:val="002D2DE6"/>
    <w:rsid w:val="002D39DF"/>
    <w:rsid w:val="002D3A60"/>
    <w:rsid w:val="002D4572"/>
    <w:rsid w:val="002D5B93"/>
    <w:rsid w:val="002D5F1E"/>
    <w:rsid w:val="002D6A25"/>
    <w:rsid w:val="002D6C04"/>
    <w:rsid w:val="002D76E7"/>
    <w:rsid w:val="002D7BA4"/>
    <w:rsid w:val="002E00C0"/>
    <w:rsid w:val="002E11E5"/>
    <w:rsid w:val="002E1B30"/>
    <w:rsid w:val="002E1F65"/>
    <w:rsid w:val="002E39B9"/>
    <w:rsid w:val="002E4D29"/>
    <w:rsid w:val="002E4F8A"/>
    <w:rsid w:val="002E5601"/>
    <w:rsid w:val="002E6ED0"/>
    <w:rsid w:val="002E79CC"/>
    <w:rsid w:val="002F137C"/>
    <w:rsid w:val="002F1C41"/>
    <w:rsid w:val="002F2113"/>
    <w:rsid w:val="002F2533"/>
    <w:rsid w:val="002F29B0"/>
    <w:rsid w:val="002F438E"/>
    <w:rsid w:val="002F49F7"/>
    <w:rsid w:val="002F4ED4"/>
    <w:rsid w:val="002F4F77"/>
    <w:rsid w:val="002F579B"/>
    <w:rsid w:val="002F5F4A"/>
    <w:rsid w:val="002F6D81"/>
    <w:rsid w:val="002F711B"/>
    <w:rsid w:val="002F79C8"/>
    <w:rsid w:val="00300280"/>
    <w:rsid w:val="00300C41"/>
    <w:rsid w:val="00301073"/>
    <w:rsid w:val="00301FBC"/>
    <w:rsid w:val="003022F8"/>
    <w:rsid w:val="00302696"/>
    <w:rsid w:val="00302777"/>
    <w:rsid w:val="00302F07"/>
    <w:rsid w:val="00303098"/>
    <w:rsid w:val="00303910"/>
    <w:rsid w:val="00304819"/>
    <w:rsid w:val="00304B40"/>
    <w:rsid w:val="00306FAD"/>
    <w:rsid w:val="00307B5B"/>
    <w:rsid w:val="0031056C"/>
    <w:rsid w:val="00310749"/>
    <w:rsid w:val="003120A3"/>
    <w:rsid w:val="00312B27"/>
    <w:rsid w:val="003147B6"/>
    <w:rsid w:val="00314817"/>
    <w:rsid w:val="00314BB7"/>
    <w:rsid w:val="00314C9F"/>
    <w:rsid w:val="00317AE0"/>
    <w:rsid w:val="003200C9"/>
    <w:rsid w:val="0032025F"/>
    <w:rsid w:val="00320384"/>
    <w:rsid w:val="00320673"/>
    <w:rsid w:val="00320E45"/>
    <w:rsid w:val="0032214C"/>
    <w:rsid w:val="00322477"/>
    <w:rsid w:val="00322FE8"/>
    <w:rsid w:val="00323FE7"/>
    <w:rsid w:val="003240BB"/>
    <w:rsid w:val="0032442F"/>
    <w:rsid w:val="0032445A"/>
    <w:rsid w:val="003248AE"/>
    <w:rsid w:val="0032572D"/>
    <w:rsid w:val="003267C3"/>
    <w:rsid w:val="003327FD"/>
    <w:rsid w:val="003342B2"/>
    <w:rsid w:val="00334A41"/>
    <w:rsid w:val="003350C8"/>
    <w:rsid w:val="00335240"/>
    <w:rsid w:val="00335C97"/>
    <w:rsid w:val="00335ECF"/>
    <w:rsid w:val="0033624E"/>
    <w:rsid w:val="0033745A"/>
    <w:rsid w:val="003416E1"/>
    <w:rsid w:val="00341D36"/>
    <w:rsid w:val="00342235"/>
    <w:rsid w:val="0034309D"/>
    <w:rsid w:val="00343AD6"/>
    <w:rsid w:val="00343D0E"/>
    <w:rsid w:val="00344E15"/>
    <w:rsid w:val="00345878"/>
    <w:rsid w:val="00347809"/>
    <w:rsid w:val="00347EB7"/>
    <w:rsid w:val="00350BA2"/>
    <w:rsid w:val="00352596"/>
    <w:rsid w:val="00352CD3"/>
    <w:rsid w:val="00354190"/>
    <w:rsid w:val="00354204"/>
    <w:rsid w:val="0035611F"/>
    <w:rsid w:val="0035623C"/>
    <w:rsid w:val="003568F3"/>
    <w:rsid w:val="0035695C"/>
    <w:rsid w:val="003569E3"/>
    <w:rsid w:val="00356A8F"/>
    <w:rsid w:val="00357A7E"/>
    <w:rsid w:val="003614D5"/>
    <w:rsid w:val="003622B7"/>
    <w:rsid w:val="00362C71"/>
    <w:rsid w:val="003630A2"/>
    <w:rsid w:val="003645F1"/>
    <w:rsid w:val="0036523A"/>
    <w:rsid w:val="00370F6B"/>
    <w:rsid w:val="00373952"/>
    <w:rsid w:val="00374F1C"/>
    <w:rsid w:val="003752EC"/>
    <w:rsid w:val="0037627A"/>
    <w:rsid w:val="00376844"/>
    <w:rsid w:val="003769FC"/>
    <w:rsid w:val="00376A49"/>
    <w:rsid w:val="003772E0"/>
    <w:rsid w:val="00380BB5"/>
    <w:rsid w:val="0038143C"/>
    <w:rsid w:val="00381702"/>
    <w:rsid w:val="0038289F"/>
    <w:rsid w:val="00384086"/>
    <w:rsid w:val="00385E48"/>
    <w:rsid w:val="0039024B"/>
    <w:rsid w:val="00390C58"/>
    <w:rsid w:val="00392318"/>
    <w:rsid w:val="0039236E"/>
    <w:rsid w:val="003926DA"/>
    <w:rsid w:val="00393EA7"/>
    <w:rsid w:val="00394542"/>
    <w:rsid w:val="003961C3"/>
    <w:rsid w:val="003A0143"/>
    <w:rsid w:val="003A288F"/>
    <w:rsid w:val="003A2B8F"/>
    <w:rsid w:val="003A312D"/>
    <w:rsid w:val="003A3BAA"/>
    <w:rsid w:val="003A4AFB"/>
    <w:rsid w:val="003A5FD1"/>
    <w:rsid w:val="003A6AD8"/>
    <w:rsid w:val="003B00D9"/>
    <w:rsid w:val="003B00DA"/>
    <w:rsid w:val="003B19E3"/>
    <w:rsid w:val="003B2667"/>
    <w:rsid w:val="003B2E2C"/>
    <w:rsid w:val="003B31D9"/>
    <w:rsid w:val="003B4EEE"/>
    <w:rsid w:val="003B596F"/>
    <w:rsid w:val="003B62DA"/>
    <w:rsid w:val="003C03F4"/>
    <w:rsid w:val="003C0A46"/>
    <w:rsid w:val="003C215A"/>
    <w:rsid w:val="003C233C"/>
    <w:rsid w:val="003C2DC7"/>
    <w:rsid w:val="003C31B6"/>
    <w:rsid w:val="003C4D0E"/>
    <w:rsid w:val="003C4F75"/>
    <w:rsid w:val="003C6725"/>
    <w:rsid w:val="003C71E8"/>
    <w:rsid w:val="003C7F95"/>
    <w:rsid w:val="003D004B"/>
    <w:rsid w:val="003D2E46"/>
    <w:rsid w:val="003D3444"/>
    <w:rsid w:val="003D3954"/>
    <w:rsid w:val="003D6626"/>
    <w:rsid w:val="003D67F4"/>
    <w:rsid w:val="003D714A"/>
    <w:rsid w:val="003D7E60"/>
    <w:rsid w:val="003E1004"/>
    <w:rsid w:val="003E2E84"/>
    <w:rsid w:val="003E2EE9"/>
    <w:rsid w:val="003E3493"/>
    <w:rsid w:val="003E660B"/>
    <w:rsid w:val="003E6A47"/>
    <w:rsid w:val="003E7870"/>
    <w:rsid w:val="003F0A89"/>
    <w:rsid w:val="003F107E"/>
    <w:rsid w:val="003F15FD"/>
    <w:rsid w:val="003F18AE"/>
    <w:rsid w:val="003F1FC5"/>
    <w:rsid w:val="003F248D"/>
    <w:rsid w:val="003F2889"/>
    <w:rsid w:val="003F2A23"/>
    <w:rsid w:val="003F343C"/>
    <w:rsid w:val="003F3FAD"/>
    <w:rsid w:val="003F530D"/>
    <w:rsid w:val="003F6713"/>
    <w:rsid w:val="003F67C2"/>
    <w:rsid w:val="003F7962"/>
    <w:rsid w:val="003F7C6F"/>
    <w:rsid w:val="003F7D58"/>
    <w:rsid w:val="00402265"/>
    <w:rsid w:val="004031CC"/>
    <w:rsid w:val="0040405E"/>
    <w:rsid w:val="0040507B"/>
    <w:rsid w:val="0040580D"/>
    <w:rsid w:val="00405D4D"/>
    <w:rsid w:val="0040730C"/>
    <w:rsid w:val="00407B9E"/>
    <w:rsid w:val="00407C07"/>
    <w:rsid w:val="00407E0A"/>
    <w:rsid w:val="00410BD0"/>
    <w:rsid w:val="00411118"/>
    <w:rsid w:val="004112BF"/>
    <w:rsid w:val="00411838"/>
    <w:rsid w:val="00412903"/>
    <w:rsid w:val="00413797"/>
    <w:rsid w:val="00413B1F"/>
    <w:rsid w:val="00413EEF"/>
    <w:rsid w:val="004140DF"/>
    <w:rsid w:val="004146EB"/>
    <w:rsid w:val="0041529F"/>
    <w:rsid w:val="004163E8"/>
    <w:rsid w:val="00416B31"/>
    <w:rsid w:val="004172CD"/>
    <w:rsid w:val="00417653"/>
    <w:rsid w:val="00417D5F"/>
    <w:rsid w:val="00420CC6"/>
    <w:rsid w:val="00421544"/>
    <w:rsid w:val="00422ADF"/>
    <w:rsid w:val="00422E35"/>
    <w:rsid w:val="004252BB"/>
    <w:rsid w:val="004259CC"/>
    <w:rsid w:val="00427207"/>
    <w:rsid w:val="0042742D"/>
    <w:rsid w:val="00427821"/>
    <w:rsid w:val="00430496"/>
    <w:rsid w:val="00430A33"/>
    <w:rsid w:val="0043167F"/>
    <w:rsid w:val="004318C4"/>
    <w:rsid w:val="00431D78"/>
    <w:rsid w:val="00432D6F"/>
    <w:rsid w:val="0043343E"/>
    <w:rsid w:val="00433628"/>
    <w:rsid w:val="004345A4"/>
    <w:rsid w:val="00434B0A"/>
    <w:rsid w:val="00437756"/>
    <w:rsid w:val="00437758"/>
    <w:rsid w:val="004378BB"/>
    <w:rsid w:val="00437B17"/>
    <w:rsid w:val="00440297"/>
    <w:rsid w:val="004402AB"/>
    <w:rsid w:val="00440FA3"/>
    <w:rsid w:val="004414AD"/>
    <w:rsid w:val="00442002"/>
    <w:rsid w:val="004436D0"/>
    <w:rsid w:val="00443B9E"/>
    <w:rsid w:val="00443F23"/>
    <w:rsid w:val="00444114"/>
    <w:rsid w:val="0044465F"/>
    <w:rsid w:val="00444962"/>
    <w:rsid w:val="00445758"/>
    <w:rsid w:val="004467CD"/>
    <w:rsid w:val="00446BE3"/>
    <w:rsid w:val="00447B87"/>
    <w:rsid w:val="00451A39"/>
    <w:rsid w:val="0045241C"/>
    <w:rsid w:val="00452C58"/>
    <w:rsid w:val="004534A8"/>
    <w:rsid w:val="004539AE"/>
    <w:rsid w:val="00453BF1"/>
    <w:rsid w:val="00454A3E"/>
    <w:rsid w:val="00454EF0"/>
    <w:rsid w:val="00455236"/>
    <w:rsid w:val="004561BB"/>
    <w:rsid w:val="00456D6C"/>
    <w:rsid w:val="00457200"/>
    <w:rsid w:val="004604F6"/>
    <w:rsid w:val="00460978"/>
    <w:rsid w:val="004621C9"/>
    <w:rsid w:val="004623F3"/>
    <w:rsid w:val="00464344"/>
    <w:rsid w:val="004645B2"/>
    <w:rsid w:val="004648B5"/>
    <w:rsid w:val="00472DA8"/>
    <w:rsid w:val="00476386"/>
    <w:rsid w:val="00476DE2"/>
    <w:rsid w:val="00477529"/>
    <w:rsid w:val="00477A23"/>
    <w:rsid w:val="00481BF3"/>
    <w:rsid w:val="00482F22"/>
    <w:rsid w:val="00483747"/>
    <w:rsid w:val="0048394C"/>
    <w:rsid w:val="00484A4E"/>
    <w:rsid w:val="00484A5E"/>
    <w:rsid w:val="0048578E"/>
    <w:rsid w:val="0048741A"/>
    <w:rsid w:val="0049113B"/>
    <w:rsid w:val="00491E58"/>
    <w:rsid w:val="004936FD"/>
    <w:rsid w:val="0049400B"/>
    <w:rsid w:val="00494013"/>
    <w:rsid w:val="00494891"/>
    <w:rsid w:val="004951E3"/>
    <w:rsid w:val="0049556E"/>
    <w:rsid w:val="00495B3B"/>
    <w:rsid w:val="00496653"/>
    <w:rsid w:val="00496CBD"/>
    <w:rsid w:val="00497AD3"/>
    <w:rsid w:val="00497DFF"/>
    <w:rsid w:val="004A1136"/>
    <w:rsid w:val="004A2B50"/>
    <w:rsid w:val="004A2ECA"/>
    <w:rsid w:val="004A3669"/>
    <w:rsid w:val="004A429E"/>
    <w:rsid w:val="004A4DDA"/>
    <w:rsid w:val="004A5D61"/>
    <w:rsid w:val="004A61E9"/>
    <w:rsid w:val="004A7700"/>
    <w:rsid w:val="004A7786"/>
    <w:rsid w:val="004A7D31"/>
    <w:rsid w:val="004B0092"/>
    <w:rsid w:val="004B0AB3"/>
    <w:rsid w:val="004B0C69"/>
    <w:rsid w:val="004B1051"/>
    <w:rsid w:val="004B11AB"/>
    <w:rsid w:val="004B1911"/>
    <w:rsid w:val="004B194C"/>
    <w:rsid w:val="004B1F3D"/>
    <w:rsid w:val="004B3950"/>
    <w:rsid w:val="004B3CE7"/>
    <w:rsid w:val="004B3D74"/>
    <w:rsid w:val="004B3DD6"/>
    <w:rsid w:val="004B3FBF"/>
    <w:rsid w:val="004B420A"/>
    <w:rsid w:val="004B601D"/>
    <w:rsid w:val="004B685B"/>
    <w:rsid w:val="004B6A68"/>
    <w:rsid w:val="004B7B2C"/>
    <w:rsid w:val="004C1393"/>
    <w:rsid w:val="004C36D0"/>
    <w:rsid w:val="004C3AF3"/>
    <w:rsid w:val="004C4550"/>
    <w:rsid w:val="004C4999"/>
    <w:rsid w:val="004C5998"/>
    <w:rsid w:val="004C5D82"/>
    <w:rsid w:val="004C6371"/>
    <w:rsid w:val="004C66B4"/>
    <w:rsid w:val="004C7165"/>
    <w:rsid w:val="004C73F5"/>
    <w:rsid w:val="004C7C56"/>
    <w:rsid w:val="004C7DC7"/>
    <w:rsid w:val="004C7E1F"/>
    <w:rsid w:val="004D0383"/>
    <w:rsid w:val="004D1168"/>
    <w:rsid w:val="004D1F1E"/>
    <w:rsid w:val="004D21CC"/>
    <w:rsid w:val="004D2EA1"/>
    <w:rsid w:val="004D30B6"/>
    <w:rsid w:val="004D326D"/>
    <w:rsid w:val="004D393D"/>
    <w:rsid w:val="004D3C6A"/>
    <w:rsid w:val="004D4BF6"/>
    <w:rsid w:val="004D6DCC"/>
    <w:rsid w:val="004E0586"/>
    <w:rsid w:val="004E07AB"/>
    <w:rsid w:val="004E0C31"/>
    <w:rsid w:val="004E165F"/>
    <w:rsid w:val="004E1693"/>
    <w:rsid w:val="004E194A"/>
    <w:rsid w:val="004E1DD6"/>
    <w:rsid w:val="004E3680"/>
    <w:rsid w:val="004E3B30"/>
    <w:rsid w:val="004F1254"/>
    <w:rsid w:val="004F1264"/>
    <w:rsid w:val="004F1E45"/>
    <w:rsid w:val="004F359F"/>
    <w:rsid w:val="004F3EE3"/>
    <w:rsid w:val="004F44DB"/>
    <w:rsid w:val="004F6757"/>
    <w:rsid w:val="00500146"/>
    <w:rsid w:val="00500CE3"/>
    <w:rsid w:val="00501F3E"/>
    <w:rsid w:val="00504D33"/>
    <w:rsid w:val="00504D8A"/>
    <w:rsid w:val="00505709"/>
    <w:rsid w:val="0050694E"/>
    <w:rsid w:val="00506BD6"/>
    <w:rsid w:val="00506CDA"/>
    <w:rsid w:val="005077D3"/>
    <w:rsid w:val="00510CF0"/>
    <w:rsid w:val="0051105B"/>
    <w:rsid w:val="005113B0"/>
    <w:rsid w:val="00511C97"/>
    <w:rsid w:val="00512236"/>
    <w:rsid w:val="00513384"/>
    <w:rsid w:val="00514522"/>
    <w:rsid w:val="0051488B"/>
    <w:rsid w:val="00517718"/>
    <w:rsid w:val="00517A8E"/>
    <w:rsid w:val="005213A8"/>
    <w:rsid w:val="00522BE0"/>
    <w:rsid w:val="00524235"/>
    <w:rsid w:val="00524D0F"/>
    <w:rsid w:val="00530E08"/>
    <w:rsid w:val="005310DB"/>
    <w:rsid w:val="00532684"/>
    <w:rsid w:val="00533179"/>
    <w:rsid w:val="00533D35"/>
    <w:rsid w:val="00533EC2"/>
    <w:rsid w:val="00534478"/>
    <w:rsid w:val="0053459C"/>
    <w:rsid w:val="005355A8"/>
    <w:rsid w:val="0053722D"/>
    <w:rsid w:val="005374BF"/>
    <w:rsid w:val="0053755D"/>
    <w:rsid w:val="0053793C"/>
    <w:rsid w:val="005404D5"/>
    <w:rsid w:val="005404DB"/>
    <w:rsid w:val="00540A17"/>
    <w:rsid w:val="0054168A"/>
    <w:rsid w:val="00541A50"/>
    <w:rsid w:val="00542069"/>
    <w:rsid w:val="00542B70"/>
    <w:rsid w:val="005430DD"/>
    <w:rsid w:val="00543108"/>
    <w:rsid w:val="00543BD6"/>
    <w:rsid w:val="0054541B"/>
    <w:rsid w:val="00547848"/>
    <w:rsid w:val="005508B4"/>
    <w:rsid w:val="00551E2F"/>
    <w:rsid w:val="00551FF5"/>
    <w:rsid w:val="005530BE"/>
    <w:rsid w:val="00553A1D"/>
    <w:rsid w:val="00553A7D"/>
    <w:rsid w:val="00554114"/>
    <w:rsid w:val="005543CB"/>
    <w:rsid w:val="0055473A"/>
    <w:rsid w:val="005558C1"/>
    <w:rsid w:val="00556B0A"/>
    <w:rsid w:val="0056053B"/>
    <w:rsid w:val="0056080C"/>
    <w:rsid w:val="00561C50"/>
    <w:rsid w:val="00562B15"/>
    <w:rsid w:val="00563382"/>
    <w:rsid w:val="00563995"/>
    <w:rsid w:val="00563F9C"/>
    <w:rsid w:val="00564242"/>
    <w:rsid w:val="00564784"/>
    <w:rsid w:val="0056509B"/>
    <w:rsid w:val="0056532D"/>
    <w:rsid w:val="0056579D"/>
    <w:rsid w:val="005661BD"/>
    <w:rsid w:val="00566BF1"/>
    <w:rsid w:val="005675E0"/>
    <w:rsid w:val="0056796D"/>
    <w:rsid w:val="00571523"/>
    <w:rsid w:val="005719B2"/>
    <w:rsid w:val="00571DCD"/>
    <w:rsid w:val="00575E68"/>
    <w:rsid w:val="0057732F"/>
    <w:rsid w:val="005777D6"/>
    <w:rsid w:val="00577F97"/>
    <w:rsid w:val="005801A3"/>
    <w:rsid w:val="00580B62"/>
    <w:rsid w:val="00581785"/>
    <w:rsid w:val="005824FA"/>
    <w:rsid w:val="00582C20"/>
    <w:rsid w:val="0058370B"/>
    <w:rsid w:val="00583DE8"/>
    <w:rsid w:val="00583E2B"/>
    <w:rsid w:val="00584119"/>
    <w:rsid w:val="0058723C"/>
    <w:rsid w:val="00587253"/>
    <w:rsid w:val="00587B6B"/>
    <w:rsid w:val="00587E1E"/>
    <w:rsid w:val="00591D83"/>
    <w:rsid w:val="005921C9"/>
    <w:rsid w:val="0059252A"/>
    <w:rsid w:val="00592934"/>
    <w:rsid w:val="00595AB0"/>
    <w:rsid w:val="0059688A"/>
    <w:rsid w:val="00596BA4"/>
    <w:rsid w:val="005975B7"/>
    <w:rsid w:val="00597844"/>
    <w:rsid w:val="00597EED"/>
    <w:rsid w:val="00597F09"/>
    <w:rsid w:val="005A089D"/>
    <w:rsid w:val="005A08B1"/>
    <w:rsid w:val="005A0F42"/>
    <w:rsid w:val="005A2784"/>
    <w:rsid w:val="005A298B"/>
    <w:rsid w:val="005A4208"/>
    <w:rsid w:val="005A4CD1"/>
    <w:rsid w:val="005A5011"/>
    <w:rsid w:val="005A5412"/>
    <w:rsid w:val="005A5A69"/>
    <w:rsid w:val="005A5D5E"/>
    <w:rsid w:val="005A63CB"/>
    <w:rsid w:val="005A7ABA"/>
    <w:rsid w:val="005B029D"/>
    <w:rsid w:val="005B0FCD"/>
    <w:rsid w:val="005B17FC"/>
    <w:rsid w:val="005B278B"/>
    <w:rsid w:val="005B33EC"/>
    <w:rsid w:val="005B3B8D"/>
    <w:rsid w:val="005B3CB7"/>
    <w:rsid w:val="005B3FC2"/>
    <w:rsid w:val="005B472F"/>
    <w:rsid w:val="005B49F7"/>
    <w:rsid w:val="005B51E7"/>
    <w:rsid w:val="005B58B7"/>
    <w:rsid w:val="005C0C53"/>
    <w:rsid w:val="005C1CBC"/>
    <w:rsid w:val="005C2BB9"/>
    <w:rsid w:val="005C2F36"/>
    <w:rsid w:val="005C6A5D"/>
    <w:rsid w:val="005D00AD"/>
    <w:rsid w:val="005D14F9"/>
    <w:rsid w:val="005D353A"/>
    <w:rsid w:val="005D3679"/>
    <w:rsid w:val="005D36FB"/>
    <w:rsid w:val="005D3D8C"/>
    <w:rsid w:val="005D3E85"/>
    <w:rsid w:val="005D3FC7"/>
    <w:rsid w:val="005D45F6"/>
    <w:rsid w:val="005D4B89"/>
    <w:rsid w:val="005D6CC7"/>
    <w:rsid w:val="005D75ED"/>
    <w:rsid w:val="005D7C81"/>
    <w:rsid w:val="005D7F27"/>
    <w:rsid w:val="005E0462"/>
    <w:rsid w:val="005E0603"/>
    <w:rsid w:val="005E1A32"/>
    <w:rsid w:val="005E282C"/>
    <w:rsid w:val="005E2AB5"/>
    <w:rsid w:val="005E33D1"/>
    <w:rsid w:val="005E3506"/>
    <w:rsid w:val="005E375D"/>
    <w:rsid w:val="005E3CA6"/>
    <w:rsid w:val="005E3DEF"/>
    <w:rsid w:val="005E42BD"/>
    <w:rsid w:val="005E4DE3"/>
    <w:rsid w:val="005E59D8"/>
    <w:rsid w:val="005E6553"/>
    <w:rsid w:val="005E69ED"/>
    <w:rsid w:val="005E758F"/>
    <w:rsid w:val="005E7E10"/>
    <w:rsid w:val="005F0252"/>
    <w:rsid w:val="005F03C1"/>
    <w:rsid w:val="005F0A00"/>
    <w:rsid w:val="005F188B"/>
    <w:rsid w:val="005F19E7"/>
    <w:rsid w:val="005F23FF"/>
    <w:rsid w:val="005F2502"/>
    <w:rsid w:val="005F38A9"/>
    <w:rsid w:val="005F540D"/>
    <w:rsid w:val="005F5890"/>
    <w:rsid w:val="005F6058"/>
    <w:rsid w:val="005F63F4"/>
    <w:rsid w:val="006000EE"/>
    <w:rsid w:val="006004D0"/>
    <w:rsid w:val="00600A18"/>
    <w:rsid w:val="006012CD"/>
    <w:rsid w:val="006014E4"/>
    <w:rsid w:val="006022A1"/>
    <w:rsid w:val="006034FC"/>
    <w:rsid w:val="00603DF9"/>
    <w:rsid w:val="00603F45"/>
    <w:rsid w:val="006042F8"/>
    <w:rsid w:val="0060467D"/>
    <w:rsid w:val="00604B8B"/>
    <w:rsid w:val="006052BB"/>
    <w:rsid w:val="00605A95"/>
    <w:rsid w:val="006066E6"/>
    <w:rsid w:val="00606C95"/>
    <w:rsid w:val="00607728"/>
    <w:rsid w:val="006136EA"/>
    <w:rsid w:val="006137CC"/>
    <w:rsid w:val="006138AA"/>
    <w:rsid w:val="00613A25"/>
    <w:rsid w:val="0061401E"/>
    <w:rsid w:val="00615106"/>
    <w:rsid w:val="00615B44"/>
    <w:rsid w:val="006168C8"/>
    <w:rsid w:val="006172A9"/>
    <w:rsid w:val="00617DE7"/>
    <w:rsid w:val="00617F25"/>
    <w:rsid w:val="0062043B"/>
    <w:rsid w:val="00621417"/>
    <w:rsid w:val="00621598"/>
    <w:rsid w:val="006219AA"/>
    <w:rsid w:val="00621A49"/>
    <w:rsid w:val="00621B83"/>
    <w:rsid w:val="00621FEF"/>
    <w:rsid w:val="0062208E"/>
    <w:rsid w:val="006224A6"/>
    <w:rsid w:val="006224F8"/>
    <w:rsid w:val="00622696"/>
    <w:rsid w:val="00622FFA"/>
    <w:rsid w:val="006252FB"/>
    <w:rsid w:val="00626AD6"/>
    <w:rsid w:val="006272FB"/>
    <w:rsid w:val="0063046E"/>
    <w:rsid w:val="00631003"/>
    <w:rsid w:val="00631B3D"/>
    <w:rsid w:val="0063220F"/>
    <w:rsid w:val="00632CE7"/>
    <w:rsid w:val="006330A8"/>
    <w:rsid w:val="0063428A"/>
    <w:rsid w:val="00634BD8"/>
    <w:rsid w:val="00635DFF"/>
    <w:rsid w:val="0063701B"/>
    <w:rsid w:val="006371AE"/>
    <w:rsid w:val="006375D1"/>
    <w:rsid w:val="0063785B"/>
    <w:rsid w:val="006400C0"/>
    <w:rsid w:val="006406E6"/>
    <w:rsid w:val="0064088F"/>
    <w:rsid w:val="00640BBA"/>
    <w:rsid w:val="006420DF"/>
    <w:rsid w:val="00642268"/>
    <w:rsid w:val="006422F5"/>
    <w:rsid w:val="006427AA"/>
    <w:rsid w:val="00642A7B"/>
    <w:rsid w:val="00642F64"/>
    <w:rsid w:val="00643A86"/>
    <w:rsid w:val="00643CAC"/>
    <w:rsid w:val="00643ECA"/>
    <w:rsid w:val="006449EB"/>
    <w:rsid w:val="00645946"/>
    <w:rsid w:val="00645987"/>
    <w:rsid w:val="00645C2B"/>
    <w:rsid w:val="00647097"/>
    <w:rsid w:val="0064726F"/>
    <w:rsid w:val="00650084"/>
    <w:rsid w:val="00650249"/>
    <w:rsid w:val="0065036E"/>
    <w:rsid w:val="00651B14"/>
    <w:rsid w:val="00652216"/>
    <w:rsid w:val="00652A7D"/>
    <w:rsid w:val="00652E1E"/>
    <w:rsid w:val="00653126"/>
    <w:rsid w:val="0065375A"/>
    <w:rsid w:val="00654475"/>
    <w:rsid w:val="00654F19"/>
    <w:rsid w:val="00656113"/>
    <w:rsid w:val="00656707"/>
    <w:rsid w:val="0065735B"/>
    <w:rsid w:val="00657D3C"/>
    <w:rsid w:val="00662968"/>
    <w:rsid w:val="00662B26"/>
    <w:rsid w:val="00662BD6"/>
    <w:rsid w:val="006645C0"/>
    <w:rsid w:val="0066530B"/>
    <w:rsid w:val="006665F0"/>
    <w:rsid w:val="00667E91"/>
    <w:rsid w:val="00670188"/>
    <w:rsid w:val="00670B8B"/>
    <w:rsid w:val="00670D0E"/>
    <w:rsid w:val="00671573"/>
    <w:rsid w:val="006715D6"/>
    <w:rsid w:val="006719E0"/>
    <w:rsid w:val="0067231B"/>
    <w:rsid w:val="00672495"/>
    <w:rsid w:val="006763B9"/>
    <w:rsid w:val="00677C2C"/>
    <w:rsid w:val="00677EB0"/>
    <w:rsid w:val="00682064"/>
    <w:rsid w:val="00682658"/>
    <w:rsid w:val="00683651"/>
    <w:rsid w:val="00685741"/>
    <w:rsid w:val="00685EAF"/>
    <w:rsid w:val="00687F98"/>
    <w:rsid w:val="0069122D"/>
    <w:rsid w:val="00691C07"/>
    <w:rsid w:val="00692CFE"/>
    <w:rsid w:val="00693151"/>
    <w:rsid w:val="006934C7"/>
    <w:rsid w:val="006944E5"/>
    <w:rsid w:val="0069505A"/>
    <w:rsid w:val="00695450"/>
    <w:rsid w:val="0069585E"/>
    <w:rsid w:val="00696730"/>
    <w:rsid w:val="00696B3A"/>
    <w:rsid w:val="00697351"/>
    <w:rsid w:val="00697AC4"/>
    <w:rsid w:val="00697BFA"/>
    <w:rsid w:val="00697D08"/>
    <w:rsid w:val="006A11E4"/>
    <w:rsid w:val="006A1D7A"/>
    <w:rsid w:val="006A3C72"/>
    <w:rsid w:val="006A3F4A"/>
    <w:rsid w:val="006A7406"/>
    <w:rsid w:val="006A7625"/>
    <w:rsid w:val="006A7677"/>
    <w:rsid w:val="006A76C3"/>
    <w:rsid w:val="006B2558"/>
    <w:rsid w:val="006B3324"/>
    <w:rsid w:val="006B40D9"/>
    <w:rsid w:val="006B455E"/>
    <w:rsid w:val="006B54D4"/>
    <w:rsid w:val="006B68BE"/>
    <w:rsid w:val="006B7F6C"/>
    <w:rsid w:val="006C03CB"/>
    <w:rsid w:val="006C08F2"/>
    <w:rsid w:val="006C0984"/>
    <w:rsid w:val="006C12E8"/>
    <w:rsid w:val="006C3455"/>
    <w:rsid w:val="006C3533"/>
    <w:rsid w:val="006C38A2"/>
    <w:rsid w:val="006C46D3"/>
    <w:rsid w:val="006C58A5"/>
    <w:rsid w:val="006C58AF"/>
    <w:rsid w:val="006C6155"/>
    <w:rsid w:val="006C6984"/>
    <w:rsid w:val="006C7271"/>
    <w:rsid w:val="006D1187"/>
    <w:rsid w:val="006D1BC8"/>
    <w:rsid w:val="006D2545"/>
    <w:rsid w:val="006D2743"/>
    <w:rsid w:val="006D29FF"/>
    <w:rsid w:val="006D3DB3"/>
    <w:rsid w:val="006D5398"/>
    <w:rsid w:val="006D5CA3"/>
    <w:rsid w:val="006D607E"/>
    <w:rsid w:val="006D76CD"/>
    <w:rsid w:val="006D7717"/>
    <w:rsid w:val="006D7DE0"/>
    <w:rsid w:val="006D7E84"/>
    <w:rsid w:val="006D7F57"/>
    <w:rsid w:val="006E096B"/>
    <w:rsid w:val="006E1184"/>
    <w:rsid w:val="006E2173"/>
    <w:rsid w:val="006E29F9"/>
    <w:rsid w:val="006E32F9"/>
    <w:rsid w:val="006E341B"/>
    <w:rsid w:val="006E3F86"/>
    <w:rsid w:val="006E431E"/>
    <w:rsid w:val="006E45EA"/>
    <w:rsid w:val="006E5363"/>
    <w:rsid w:val="006E53FF"/>
    <w:rsid w:val="006E6B2A"/>
    <w:rsid w:val="006E6FFC"/>
    <w:rsid w:val="006E7A0A"/>
    <w:rsid w:val="006F1214"/>
    <w:rsid w:val="006F3169"/>
    <w:rsid w:val="006F3C44"/>
    <w:rsid w:val="006F4942"/>
    <w:rsid w:val="006F55E4"/>
    <w:rsid w:val="006F5AFC"/>
    <w:rsid w:val="006F7040"/>
    <w:rsid w:val="006F73DF"/>
    <w:rsid w:val="006F7F0F"/>
    <w:rsid w:val="0070110B"/>
    <w:rsid w:val="00701AB2"/>
    <w:rsid w:val="00702BD9"/>
    <w:rsid w:val="00702F26"/>
    <w:rsid w:val="007037DC"/>
    <w:rsid w:val="00704114"/>
    <w:rsid w:val="00704E83"/>
    <w:rsid w:val="0070509B"/>
    <w:rsid w:val="007053D7"/>
    <w:rsid w:val="007053FC"/>
    <w:rsid w:val="00705551"/>
    <w:rsid w:val="00705577"/>
    <w:rsid w:val="00705A73"/>
    <w:rsid w:val="00705EF0"/>
    <w:rsid w:val="0070651B"/>
    <w:rsid w:val="0070744A"/>
    <w:rsid w:val="0070744D"/>
    <w:rsid w:val="007102F2"/>
    <w:rsid w:val="00710FED"/>
    <w:rsid w:val="00711EC1"/>
    <w:rsid w:val="007138D1"/>
    <w:rsid w:val="0071442D"/>
    <w:rsid w:val="007148EE"/>
    <w:rsid w:val="007149D3"/>
    <w:rsid w:val="00714BFC"/>
    <w:rsid w:val="0071509B"/>
    <w:rsid w:val="007151C9"/>
    <w:rsid w:val="00715404"/>
    <w:rsid w:val="00716325"/>
    <w:rsid w:val="00716C51"/>
    <w:rsid w:val="0071783A"/>
    <w:rsid w:val="00720008"/>
    <w:rsid w:val="007204ED"/>
    <w:rsid w:val="00720636"/>
    <w:rsid w:val="00720FFC"/>
    <w:rsid w:val="007220E4"/>
    <w:rsid w:val="0072257D"/>
    <w:rsid w:val="00722B4B"/>
    <w:rsid w:val="0072418B"/>
    <w:rsid w:val="007258B1"/>
    <w:rsid w:val="00726F5D"/>
    <w:rsid w:val="007273C2"/>
    <w:rsid w:val="00727A8E"/>
    <w:rsid w:val="00727E10"/>
    <w:rsid w:val="00730958"/>
    <w:rsid w:val="00731EBB"/>
    <w:rsid w:val="00732C43"/>
    <w:rsid w:val="00733928"/>
    <w:rsid w:val="007346C6"/>
    <w:rsid w:val="00735664"/>
    <w:rsid w:val="0073675B"/>
    <w:rsid w:val="00736D18"/>
    <w:rsid w:val="00736F65"/>
    <w:rsid w:val="007401B9"/>
    <w:rsid w:val="007404A7"/>
    <w:rsid w:val="00740693"/>
    <w:rsid w:val="007407C8"/>
    <w:rsid w:val="00740CF0"/>
    <w:rsid w:val="00742AEC"/>
    <w:rsid w:val="00743AB7"/>
    <w:rsid w:val="00743B5D"/>
    <w:rsid w:val="00744700"/>
    <w:rsid w:val="00744FE2"/>
    <w:rsid w:val="00745BD0"/>
    <w:rsid w:val="00745DCC"/>
    <w:rsid w:val="00746603"/>
    <w:rsid w:val="00746F20"/>
    <w:rsid w:val="00746FF4"/>
    <w:rsid w:val="007476D4"/>
    <w:rsid w:val="00747C19"/>
    <w:rsid w:val="007505FF"/>
    <w:rsid w:val="00750D8F"/>
    <w:rsid w:val="0075154C"/>
    <w:rsid w:val="007518A5"/>
    <w:rsid w:val="00752590"/>
    <w:rsid w:val="00752708"/>
    <w:rsid w:val="0075505C"/>
    <w:rsid w:val="007553C5"/>
    <w:rsid w:val="0075633C"/>
    <w:rsid w:val="00756582"/>
    <w:rsid w:val="00756C92"/>
    <w:rsid w:val="00757009"/>
    <w:rsid w:val="007579EB"/>
    <w:rsid w:val="00757ADF"/>
    <w:rsid w:val="007606A4"/>
    <w:rsid w:val="00761A47"/>
    <w:rsid w:val="007620D9"/>
    <w:rsid w:val="007635E4"/>
    <w:rsid w:val="00764356"/>
    <w:rsid w:val="0076485C"/>
    <w:rsid w:val="00764B66"/>
    <w:rsid w:val="007650FB"/>
    <w:rsid w:val="00765CF5"/>
    <w:rsid w:val="00766A6E"/>
    <w:rsid w:val="00766AA0"/>
    <w:rsid w:val="0076787C"/>
    <w:rsid w:val="00767A85"/>
    <w:rsid w:val="00767E68"/>
    <w:rsid w:val="0077141A"/>
    <w:rsid w:val="00771F03"/>
    <w:rsid w:val="00772F4E"/>
    <w:rsid w:val="0077327F"/>
    <w:rsid w:val="00773434"/>
    <w:rsid w:val="00773552"/>
    <w:rsid w:val="00773BA0"/>
    <w:rsid w:val="00773BEC"/>
    <w:rsid w:val="00773C2F"/>
    <w:rsid w:val="0077496A"/>
    <w:rsid w:val="00774F45"/>
    <w:rsid w:val="00775CB8"/>
    <w:rsid w:val="0077699E"/>
    <w:rsid w:val="00776D8E"/>
    <w:rsid w:val="007779F2"/>
    <w:rsid w:val="00780179"/>
    <w:rsid w:val="00782571"/>
    <w:rsid w:val="00782B02"/>
    <w:rsid w:val="0078321A"/>
    <w:rsid w:val="0078348C"/>
    <w:rsid w:val="007839F1"/>
    <w:rsid w:val="00784146"/>
    <w:rsid w:val="007859C4"/>
    <w:rsid w:val="00785BF6"/>
    <w:rsid w:val="00786622"/>
    <w:rsid w:val="00787973"/>
    <w:rsid w:val="00790306"/>
    <w:rsid w:val="007914EE"/>
    <w:rsid w:val="007918D5"/>
    <w:rsid w:val="007945B0"/>
    <w:rsid w:val="00794B52"/>
    <w:rsid w:val="00794E45"/>
    <w:rsid w:val="00796457"/>
    <w:rsid w:val="007969F4"/>
    <w:rsid w:val="0079783F"/>
    <w:rsid w:val="007A0078"/>
    <w:rsid w:val="007A15D6"/>
    <w:rsid w:val="007A467D"/>
    <w:rsid w:val="007A4A3E"/>
    <w:rsid w:val="007A4A71"/>
    <w:rsid w:val="007A52D7"/>
    <w:rsid w:val="007A64DE"/>
    <w:rsid w:val="007A6899"/>
    <w:rsid w:val="007A6B3C"/>
    <w:rsid w:val="007A7D4D"/>
    <w:rsid w:val="007B0077"/>
    <w:rsid w:val="007B2582"/>
    <w:rsid w:val="007B25DB"/>
    <w:rsid w:val="007B2677"/>
    <w:rsid w:val="007B3373"/>
    <w:rsid w:val="007B3622"/>
    <w:rsid w:val="007B4FB8"/>
    <w:rsid w:val="007B5E7C"/>
    <w:rsid w:val="007B6814"/>
    <w:rsid w:val="007B7DBE"/>
    <w:rsid w:val="007C0027"/>
    <w:rsid w:val="007C0BE4"/>
    <w:rsid w:val="007C1960"/>
    <w:rsid w:val="007C34DD"/>
    <w:rsid w:val="007C390A"/>
    <w:rsid w:val="007C5463"/>
    <w:rsid w:val="007C683D"/>
    <w:rsid w:val="007C6A60"/>
    <w:rsid w:val="007D0348"/>
    <w:rsid w:val="007D0AA6"/>
    <w:rsid w:val="007D26DA"/>
    <w:rsid w:val="007D3541"/>
    <w:rsid w:val="007D3958"/>
    <w:rsid w:val="007D50DD"/>
    <w:rsid w:val="007D533E"/>
    <w:rsid w:val="007D53B6"/>
    <w:rsid w:val="007D6B18"/>
    <w:rsid w:val="007E0212"/>
    <w:rsid w:val="007E02BE"/>
    <w:rsid w:val="007E0C62"/>
    <w:rsid w:val="007E273E"/>
    <w:rsid w:val="007E3D9D"/>
    <w:rsid w:val="007E4657"/>
    <w:rsid w:val="007E4E1E"/>
    <w:rsid w:val="007E5E1C"/>
    <w:rsid w:val="007E6565"/>
    <w:rsid w:val="007E6704"/>
    <w:rsid w:val="007E6FF1"/>
    <w:rsid w:val="007E72CA"/>
    <w:rsid w:val="007E741D"/>
    <w:rsid w:val="007E758A"/>
    <w:rsid w:val="007E7EC1"/>
    <w:rsid w:val="007F0029"/>
    <w:rsid w:val="007F0602"/>
    <w:rsid w:val="007F0CC8"/>
    <w:rsid w:val="007F23A2"/>
    <w:rsid w:val="007F2F8C"/>
    <w:rsid w:val="007F423C"/>
    <w:rsid w:val="007F4344"/>
    <w:rsid w:val="007F4B90"/>
    <w:rsid w:val="007F503B"/>
    <w:rsid w:val="007F5960"/>
    <w:rsid w:val="007F730A"/>
    <w:rsid w:val="0080251B"/>
    <w:rsid w:val="00802B56"/>
    <w:rsid w:val="00803894"/>
    <w:rsid w:val="0080399C"/>
    <w:rsid w:val="00803DD6"/>
    <w:rsid w:val="008044DC"/>
    <w:rsid w:val="00804ECB"/>
    <w:rsid w:val="00805436"/>
    <w:rsid w:val="00805556"/>
    <w:rsid w:val="00805B06"/>
    <w:rsid w:val="00806579"/>
    <w:rsid w:val="008066E5"/>
    <w:rsid w:val="00807842"/>
    <w:rsid w:val="0080790E"/>
    <w:rsid w:val="00807936"/>
    <w:rsid w:val="008101FB"/>
    <w:rsid w:val="008102A0"/>
    <w:rsid w:val="008106BC"/>
    <w:rsid w:val="00810B51"/>
    <w:rsid w:val="00810CD7"/>
    <w:rsid w:val="0081172A"/>
    <w:rsid w:val="00812398"/>
    <w:rsid w:val="00813100"/>
    <w:rsid w:val="00813FD1"/>
    <w:rsid w:val="00814A11"/>
    <w:rsid w:val="008153D3"/>
    <w:rsid w:val="0081643F"/>
    <w:rsid w:val="00817076"/>
    <w:rsid w:val="00817A22"/>
    <w:rsid w:val="00817C58"/>
    <w:rsid w:val="0082029F"/>
    <w:rsid w:val="008207E0"/>
    <w:rsid w:val="008208B0"/>
    <w:rsid w:val="00820BA7"/>
    <w:rsid w:val="008213F8"/>
    <w:rsid w:val="00821865"/>
    <w:rsid w:val="0082255F"/>
    <w:rsid w:val="0082268F"/>
    <w:rsid w:val="00822EE7"/>
    <w:rsid w:val="0082392C"/>
    <w:rsid w:val="00823BC9"/>
    <w:rsid w:val="00825CC1"/>
    <w:rsid w:val="00825E97"/>
    <w:rsid w:val="00826B91"/>
    <w:rsid w:val="00826DD4"/>
    <w:rsid w:val="008272F2"/>
    <w:rsid w:val="00827D5F"/>
    <w:rsid w:val="00830993"/>
    <w:rsid w:val="00831945"/>
    <w:rsid w:val="00831CDD"/>
    <w:rsid w:val="00832C77"/>
    <w:rsid w:val="00832E50"/>
    <w:rsid w:val="00834D06"/>
    <w:rsid w:val="00835D07"/>
    <w:rsid w:val="00837481"/>
    <w:rsid w:val="00837943"/>
    <w:rsid w:val="00840246"/>
    <w:rsid w:val="0084171D"/>
    <w:rsid w:val="00842203"/>
    <w:rsid w:val="008422DA"/>
    <w:rsid w:val="0084259F"/>
    <w:rsid w:val="0084487F"/>
    <w:rsid w:val="00844A8C"/>
    <w:rsid w:val="00844C02"/>
    <w:rsid w:val="00844E9B"/>
    <w:rsid w:val="00844EE7"/>
    <w:rsid w:val="00845356"/>
    <w:rsid w:val="008453BD"/>
    <w:rsid w:val="00845923"/>
    <w:rsid w:val="00845E95"/>
    <w:rsid w:val="00846CA5"/>
    <w:rsid w:val="00846FA5"/>
    <w:rsid w:val="00847271"/>
    <w:rsid w:val="008523FF"/>
    <w:rsid w:val="00853981"/>
    <w:rsid w:val="008539E4"/>
    <w:rsid w:val="008550F5"/>
    <w:rsid w:val="0085574D"/>
    <w:rsid w:val="008563E8"/>
    <w:rsid w:val="00857047"/>
    <w:rsid w:val="00861221"/>
    <w:rsid w:val="008625E5"/>
    <w:rsid w:val="00863B12"/>
    <w:rsid w:val="00863C05"/>
    <w:rsid w:val="008642C2"/>
    <w:rsid w:val="00865537"/>
    <w:rsid w:val="008668A3"/>
    <w:rsid w:val="008669AA"/>
    <w:rsid w:val="00866BD2"/>
    <w:rsid w:val="00870F2A"/>
    <w:rsid w:val="00870F6A"/>
    <w:rsid w:val="008731F6"/>
    <w:rsid w:val="00873A28"/>
    <w:rsid w:val="00874D72"/>
    <w:rsid w:val="00876E80"/>
    <w:rsid w:val="0088156F"/>
    <w:rsid w:val="00884013"/>
    <w:rsid w:val="008848AA"/>
    <w:rsid w:val="00884E67"/>
    <w:rsid w:val="0088571F"/>
    <w:rsid w:val="00887D58"/>
    <w:rsid w:val="00887EFB"/>
    <w:rsid w:val="0089037F"/>
    <w:rsid w:val="00891FD9"/>
    <w:rsid w:val="00891FEB"/>
    <w:rsid w:val="008921BD"/>
    <w:rsid w:val="008923A7"/>
    <w:rsid w:val="00892D30"/>
    <w:rsid w:val="00892D9D"/>
    <w:rsid w:val="008930B1"/>
    <w:rsid w:val="00893591"/>
    <w:rsid w:val="0089401D"/>
    <w:rsid w:val="00894B89"/>
    <w:rsid w:val="0089564B"/>
    <w:rsid w:val="008966D0"/>
    <w:rsid w:val="00896A21"/>
    <w:rsid w:val="008979C7"/>
    <w:rsid w:val="008A05B0"/>
    <w:rsid w:val="008A11CA"/>
    <w:rsid w:val="008A1AB5"/>
    <w:rsid w:val="008A232A"/>
    <w:rsid w:val="008A28B4"/>
    <w:rsid w:val="008A42F8"/>
    <w:rsid w:val="008A4352"/>
    <w:rsid w:val="008A4FC0"/>
    <w:rsid w:val="008A5175"/>
    <w:rsid w:val="008A54CD"/>
    <w:rsid w:val="008A5DA1"/>
    <w:rsid w:val="008A64D5"/>
    <w:rsid w:val="008A6B68"/>
    <w:rsid w:val="008A6BE4"/>
    <w:rsid w:val="008A6E53"/>
    <w:rsid w:val="008B0F50"/>
    <w:rsid w:val="008B1479"/>
    <w:rsid w:val="008B2406"/>
    <w:rsid w:val="008B2C18"/>
    <w:rsid w:val="008B4029"/>
    <w:rsid w:val="008B40A0"/>
    <w:rsid w:val="008B49C7"/>
    <w:rsid w:val="008B5487"/>
    <w:rsid w:val="008B6036"/>
    <w:rsid w:val="008B6A9E"/>
    <w:rsid w:val="008B7A59"/>
    <w:rsid w:val="008C06FF"/>
    <w:rsid w:val="008C0E4F"/>
    <w:rsid w:val="008C139D"/>
    <w:rsid w:val="008C14EE"/>
    <w:rsid w:val="008C29C2"/>
    <w:rsid w:val="008C2BA6"/>
    <w:rsid w:val="008C2D37"/>
    <w:rsid w:val="008C31D7"/>
    <w:rsid w:val="008C35BF"/>
    <w:rsid w:val="008C4904"/>
    <w:rsid w:val="008C4F02"/>
    <w:rsid w:val="008C65D6"/>
    <w:rsid w:val="008C6E9F"/>
    <w:rsid w:val="008D1912"/>
    <w:rsid w:val="008D1F7F"/>
    <w:rsid w:val="008D2E97"/>
    <w:rsid w:val="008D35DA"/>
    <w:rsid w:val="008D388F"/>
    <w:rsid w:val="008D4FCB"/>
    <w:rsid w:val="008D659F"/>
    <w:rsid w:val="008D67D7"/>
    <w:rsid w:val="008D6F03"/>
    <w:rsid w:val="008D78FB"/>
    <w:rsid w:val="008D7DE3"/>
    <w:rsid w:val="008E2765"/>
    <w:rsid w:val="008E2AE7"/>
    <w:rsid w:val="008E2BA1"/>
    <w:rsid w:val="008E3C1F"/>
    <w:rsid w:val="008E48A8"/>
    <w:rsid w:val="008E5900"/>
    <w:rsid w:val="008E6B08"/>
    <w:rsid w:val="008E6BDF"/>
    <w:rsid w:val="008E6EE9"/>
    <w:rsid w:val="008E6F11"/>
    <w:rsid w:val="008E7F93"/>
    <w:rsid w:val="008F1AA9"/>
    <w:rsid w:val="008F2467"/>
    <w:rsid w:val="008F4780"/>
    <w:rsid w:val="008F5209"/>
    <w:rsid w:val="008F53DD"/>
    <w:rsid w:val="008F6628"/>
    <w:rsid w:val="008F6BBB"/>
    <w:rsid w:val="008F767E"/>
    <w:rsid w:val="009004C7"/>
    <w:rsid w:val="00901602"/>
    <w:rsid w:val="009034A1"/>
    <w:rsid w:val="00903807"/>
    <w:rsid w:val="00903B28"/>
    <w:rsid w:val="00903EF1"/>
    <w:rsid w:val="00904334"/>
    <w:rsid w:val="00906586"/>
    <w:rsid w:val="00906FEE"/>
    <w:rsid w:val="00911CE1"/>
    <w:rsid w:val="00912C46"/>
    <w:rsid w:val="0091399F"/>
    <w:rsid w:val="009141C9"/>
    <w:rsid w:val="009147B5"/>
    <w:rsid w:val="00915175"/>
    <w:rsid w:val="009151F1"/>
    <w:rsid w:val="00915DB7"/>
    <w:rsid w:val="00915E86"/>
    <w:rsid w:val="00915FB8"/>
    <w:rsid w:val="00916050"/>
    <w:rsid w:val="00916744"/>
    <w:rsid w:val="00916A76"/>
    <w:rsid w:val="00917D02"/>
    <w:rsid w:val="00920C9C"/>
    <w:rsid w:val="00920E2C"/>
    <w:rsid w:val="00921BD7"/>
    <w:rsid w:val="0092205C"/>
    <w:rsid w:val="00922359"/>
    <w:rsid w:val="009223B6"/>
    <w:rsid w:val="00922666"/>
    <w:rsid w:val="00924D46"/>
    <w:rsid w:val="00925AD5"/>
    <w:rsid w:val="009268A6"/>
    <w:rsid w:val="00926C4C"/>
    <w:rsid w:val="009271D7"/>
    <w:rsid w:val="0092727D"/>
    <w:rsid w:val="00927AAA"/>
    <w:rsid w:val="00930EA5"/>
    <w:rsid w:val="00932363"/>
    <w:rsid w:val="00932A2D"/>
    <w:rsid w:val="00932BD9"/>
    <w:rsid w:val="00933CCD"/>
    <w:rsid w:val="00933FAC"/>
    <w:rsid w:val="00934ADF"/>
    <w:rsid w:val="00934DD4"/>
    <w:rsid w:val="0093532F"/>
    <w:rsid w:val="009354BE"/>
    <w:rsid w:val="009359E5"/>
    <w:rsid w:val="0093666F"/>
    <w:rsid w:val="00936D74"/>
    <w:rsid w:val="00937CA9"/>
    <w:rsid w:val="00940370"/>
    <w:rsid w:val="00941A91"/>
    <w:rsid w:val="00942463"/>
    <w:rsid w:val="00942FEE"/>
    <w:rsid w:val="0094308C"/>
    <w:rsid w:val="00945D88"/>
    <w:rsid w:val="009471D3"/>
    <w:rsid w:val="009506A2"/>
    <w:rsid w:val="00950D40"/>
    <w:rsid w:val="00952A62"/>
    <w:rsid w:val="00955124"/>
    <w:rsid w:val="00956F5C"/>
    <w:rsid w:val="009578BF"/>
    <w:rsid w:val="0096022C"/>
    <w:rsid w:val="0096052A"/>
    <w:rsid w:val="0096164A"/>
    <w:rsid w:val="00962C03"/>
    <w:rsid w:val="00963073"/>
    <w:rsid w:val="009639A4"/>
    <w:rsid w:val="00963B9D"/>
    <w:rsid w:val="00963E2E"/>
    <w:rsid w:val="009649F3"/>
    <w:rsid w:val="00965C0E"/>
    <w:rsid w:val="00965E00"/>
    <w:rsid w:val="00966493"/>
    <w:rsid w:val="00966A83"/>
    <w:rsid w:val="009671E0"/>
    <w:rsid w:val="009707D7"/>
    <w:rsid w:val="00971AFF"/>
    <w:rsid w:val="00972090"/>
    <w:rsid w:val="0097222F"/>
    <w:rsid w:val="00973999"/>
    <w:rsid w:val="00973DAC"/>
    <w:rsid w:val="00973FFB"/>
    <w:rsid w:val="00976566"/>
    <w:rsid w:val="00976D7E"/>
    <w:rsid w:val="00980190"/>
    <w:rsid w:val="00981118"/>
    <w:rsid w:val="0098222E"/>
    <w:rsid w:val="00982319"/>
    <w:rsid w:val="009828BF"/>
    <w:rsid w:val="00983251"/>
    <w:rsid w:val="009838B6"/>
    <w:rsid w:val="00984476"/>
    <w:rsid w:val="00987299"/>
    <w:rsid w:val="00987DB1"/>
    <w:rsid w:val="009906F8"/>
    <w:rsid w:val="0099093B"/>
    <w:rsid w:val="00991408"/>
    <w:rsid w:val="00991C2B"/>
    <w:rsid w:val="00991D4C"/>
    <w:rsid w:val="00993070"/>
    <w:rsid w:val="009932C6"/>
    <w:rsid w:val="00993795"/>
    <w:rsid w:val="00994EA2"/>
    <w:rsid w:val="00995133"/>
    <w:rsid w:val="00995B75"/>
    <w:rsid w:val="009966AC"/>
    <w:rsid w:val="009968C1"/>
    <w:rsid w:val="00997D04"/>
    <w:rsid w:val="009A0C07"/>
    <w:rsid w:val="009A1127"/>
    <w:rsid w:val="009A15AB"/>
    <w:rsid w:val="009A322F"/>
    <w:rsid w:val="009A3B20"/>
    <w:rsid w:val="009A42B4"/>
    <w:rsid w:val="009A6ADA"/>
    <w:rsid w:val="009A7DD2"/>
    <w:rsid w:val="009B1C3C"/>
    <w:rsid w:val="009B213E"/>
    <w:rsid w:val="009B230F"/>
    <w:rsid w:val="009B264B"/>
    <w:rsid w:val="009B288A"/>
    <w:rsid w:val="009B324E"/>
    <w:rsid w:val="009B32DD"/>
    <w:rsid w:val="009B4807"/>
    <w:rsid w:val="009B659F"/>
    <w:rsid w:val="009B6CCB"/>
    <w:rsid w:val="009B7387"/>
    <w:rsid w:val="009B7C03"/>
    <w:rsid w:val="009C0CDB"/>
    <w:rsid w:val="009C0D99"/>
    <w:rsid w:val="009C19AE"/>
    <w:rsid w:val="009C28B1"/>
    <w:rsid w:val="009C3B39"/>
    <w:rsid w:val="009C3D7F"/>
    <w:rsid w:val="009C41FC"/>
    <w:rsid w:val="009C6317"/>
    <w:rsid w:val="009C7235"/>
    <w:rsid w:val="009C753B"/>
    <w:rsid w:val="009C764E"/>
    <w:rsid w:val="009C78AF"/>
    <w:rsid w:val="009C79BA"/>
    <w:rsid w:val="009D0C25"/>
    <w:rsid w:val="009D2D1F"/>
    <w:rsid w:val="009D388F"/>
    <w:rsid w:val="009D5665"/>
    <w:rsid w:val="009D5FF5"/>
    <w:rsid w:val="009D650A"/>
    <w:rsid w:val="009D7558"/>
    <w:rsid w:val="009E126F"/>
    <w:rsid w:val="009E5414"/>
    <w:rsid w:val="009E554B"/>
    <w:rsid w:val="009E5800"/>
    <w:rsid w:val="009E6FF2"/>
    <w:rsid w:val="009E73E6"/>
    <w:rsid w:val="009E7EBF"/>
    <w:rsid w:val="009F0BEA"/>
    <w:rsid w:val="009F0C70"/>
    <w:rsid w:val="009F1751"/>
    <w:rsid w:val="009F182B"/>
    <w:rsid w:val="009F19DC"/>
    <w:rsid w:val="009F2323"/>
    <w:rsid w:val="009F2A4D"/>
    <w:rsid w:val="009F2D74"/>
    <w:rsid w:val="009F3FC7"/>
    <w:rsid w:val="009F48B7"/>
    <w:rsid w:val="009F4A58"/>
    <w:rsid w:val="009F4C29"/>
    <w:rsid w:val="009F50EF"/>
    <w:rsid w:val="009F677A"/>
    <w:rsid w:val="009F6F13"/>
    <w:rsid w:val="009F6F7A"/>
    <w:rsid w:val="009F7F9E"/>
    <w:rsid w:val="00A00306"/>
    <w:rsid w:val="00A028BC"/>
    <w:rsid w:val="00A02BB4"/>
    <w:rsid w:val="00A031D8"/>
    <w:rsid w:val="00A03968"/>
    <w:rsid w:val="00A04F74"/>
    <w:rsid w:val="00A06192"/>
    <w:rsid w:val="00A06379"/>
    <w:rsid w:val="00A113E3"/>
    <w:rsid w:val="00A11D9D"/>
    <w:rsid w:val="00A11EEB"/>
    <w:rsid w:val="00A12018"/>
    <w:rsid w:val="00A12093"/>
    <w:rsid w:val="00A13DEE"/>
    <w:rsid w:val="00A1456B"/>
    <w:rsid w:val="00A145E0"/>
    <w:rsid w:val="00A146A9"/>
    <w:rsid w:val="00A146AA"/>
    <w:rsid w:val="00A15DF7"/>
    <w:rsid w:val="00A15FAB"/>
    <w:rsid w:val="00A1680B"/>
    <w:rsid w:val="00A16C8F"/>
    <w:rsid w:val="00A1780D"/>
    <w:rsid w:val="00A17A47"/>
    <w:rsid w:val="00A20286"/>
    <w:rsid w:val="00A23C9D"/>
    <w:rsid w:val="00A24BF9"/>
    <w:rsid w:val="00A25AF4"/>
    <w:rsid w:val="00A26E39"/>
    <w:rsid w:val="00A3115C"/>
    <w:rsid w:val="00A311C4"/>
    <w:rsid w:val="00A32381"/>
    <w:rsid w:val="00A341E1"/>
    <w:rsid w:val="00A3439C"/>
    <w:rsid w:val="00A34F0B"/>
    <w:rsid w:val="00A34FB9"/>
    <w:rsid w:val="00A36B4F"/>
    <w:rsid w:val="00A371C7"/>
    <w:rsid w:val="00A37C49"/>
    <w:rsid w:val="00A37DF7"/>
    <w:rsid w:val="00A4259A"/>
    <w:rsid w:val="00A427AF"/>
    <w:rsid w:val="00A434E3"/>
    <w:rsid w:val="00A437F1"/>
    <w:rsid w:val="00A43923"/>
    <w:rsid w:val="00A439D1"/>
    <w:rsid w:val="00A4407D"/>
    <w:rsid w:val="00A442F1"/>
    <w:rsid w:val="00A45A72"/>
    <w:rsid w:val="00A45C19"/>
    <w:rsid w:val="00A46BD0"/>
    <w:rsid w:val="00A500B4"/>
    <w:rsid w:val="00A50DCB"/>
    <w:rsid w:val="00A50FF0"/>
    <w:rsid w:val="00A515C7"/>
    <w:rsid w:val="00A51862"/>
    <w:rsid w:val="00A51E7F"/>
    <w:rsid w:val="00A53AF1"/>
    <w:rsid w:val="00A53EC9"/>
    <w:rsid w:val="00A541DC"/>
    <w:rsid w:val="00A542CD"/>
    <w:rsid w:val="00A54D4A"/>
    <w:rsid w:val="00A56D23"/>
    <w:rsid w:val="00A6001F"/>
    <w:rsid w:val="00A60C48"/>
    <w:rsid w:val="00A60DB0"/>
    <w:rsid w:val="00A60F5A"/>
    <w:rsid w:val="00A617A0"/>
    <w:rsid w:val="00A61BA8"/>
    <w:rsid w:val="00A61DFC"/>
    <w:rsid w:val="00A62C6F"/>
    <w:rsid w:val="00A63680"/>
    <w:rsid w:val="00A6382D"/>
    <w:rsid w:val="00A63B93"/>
    <w:rsid w:val="00A65680"/>
    <w:rsid w:val="00A656CD"/>
    <w:rsid w:val="00A65FE0"/>
    <w:rsid w:val="00A66F7D"/>
    <w:rsid w:val="00A67594"/>
    <w:rsid w:val="00A71116"/>
    <w:rsid w:val="00A71892"/>
    <w:rsid w:val="00A71FBF"/>
    <w:rsid w:val="00A723E9"/>
    <w:rsid w:val="00A72452"/>
    <w:rsid w:val="00A727F2"/>
    <w:rsid w:val="00A75270"/>
    <w:rsid w:val="00A75847"/>
    <w:rsid w:val="00A759D1"/>
    <w:rsid w:val="00A76421"/>
    <w:rsid w:val="00A812B2"/>
    <w:rsid w:val="00A81A21"/>
    <w:rsid w:val="00A824A5"/>
    <w:rsid w:val="00A82E5C"/>
    <w:rsid w:val="00A831B1"/>
    <w:rsid w:val="00A84C78"/>
    <w:rsid w:val="00A867C9"/>
    <w:rsid w:val="00A86E97"/>
    <w:rsid w:val="00A86F5D"/>
    <w:rsid w:val="00A8732A"/>
    <w:rsid w:val="00A90189"/>
    <w:rsid w:val="00A9401D"/>
    <w:rsid w:val="00A95328"/>
    <w:rsid w:val="00A95417"/>
    <w:rsid w:val="00A9582B"/>
    <w:rsid w:val="00A96A8D"/>
    <w:rsid w:val="00A96E70"/>
    <w:rsid w:val="00AA0DC8"/>
    <w:rsid w:val="00AA1884"/>
    <w:rsid w:val="00AA27F7"/>
    <w:rsid w:val="00AA2A9B"/>
    <w:rsid w:val="00AA2BC3"/>
    <w:rsid w:val="00AA2C90"/>
    <w:rsid w:val="00AA3049"/>
    <w:rsid w:val="00AA4817"/>
    <w:rsid w:val="00AA51EA"/>
    <w:rsid w:val="00AA5377"/>
    <w:rsid w:val="00AA54D5"/>
    <w:rsid w:val="00AA5FE8"/>
    <w:rsid w:val="00AA6AD4"/>
    <w:rsid w:val="00AB04E2"/>
    <w:rsid w:val="00AB0E1F"/>
    <w:rsid w:val="00AB127E"/>
    <w:rsid w:val="00AB1469"/>
    <w:rsid w:val="00AB2078"/>
    <w:rsid w:val="00AB28D6"/>
    <w:rsid w:val="00AB2C9C"/>
    <w:rsid w:val="00AB2F61"/>
    <w:rsid w:val="00AB311D"/>
    <w:rsid w:val="00AB4F15"/>
    <w:rsid w:val="00AB702A"/>
    <w:rsid w:val="00AB7ABD"/>
    <w:rsid w:val="00AC0B5C"/>
    <w:rsid w:val="00AC1F7E"/>
    <w:rsid w:val="00AC3D27"/>
    <w:rsid w:val="00AC4096"/>
    <w:rsid w:val="00AC5C16"/>
    <w:rsid w:val="00AC6F25"/>
    <w:rsid w:val="00AC724A"/>
    <w:rsid w:val="00AC7568"/>
    <w:rsid w:val="00AC7DD1"/>
    <w:rsid w:val="00AD1337"/>
    <w:rsid w:val="00AD1B17"/>
    <w:rsid w:val="00AD1DD2"/>
    <w:rsid w:val="00AD274B"/>
    <w:rsid w:val="00AD2A1F"/>
    <w:rsid w:val="00AD3CFA"/>
    <w:rsid w:val="00AD5C15"/>
    <w:rsid w:val="00AD5CA3"/>
    <w:rsid w:val="00AD7041"/>
    <w:rsid w:val="00AD7344"/>
    <w:rsid w:val="00AD7F6D"/>
    <w:rsid w:val="00AE0D51"/>
    <w:rsid w:val="00AE0F68"/>
    <w:rsid w:val="00AE14EC"/>
    <w:rsid w:val="00AE168A"/>
    <w:rsid w:val="00AE1734"/>
    <w:rsid w:val="00AE1905"/>
    <w:rsid w:val="00AE2AE5"/>
    <w:rsid w:val="00AE30F7"/>
    <w:rsid w:val="00AE3195"/>
    <w:rsid w:val="00AE39CF"/>
    <w:rsid w:val="00AE3B1F"/>
    <w:rsid w:val="00AE4500"/>
    <w:rsid w:val="00AE4952"/>
    <w:rsid w:val="00AE7048"/>
    <w:rsid w:val="00AE7486"/>
    <w:rsid w:val="00AE7D42"/>
    <w:rsid w:val="00AF01EC"/>
    <w:rsid w:val="00AF1BAB"/>
    <w:rsid w:val="00AF2A71"/>
    <w:rsid w:val="00AF2AEB"/>
    <w:rsid w:val="00AF3452"/>
    <w:rsid w:val="00AF3B75"/>
    <w:rsid w:val="00AF5B2E"/>
    <w:rsid w:val="00AF5D44"/>
    <w:rsid w:val="00AF5D6E"/>
    <w:rsid w:val="00AF6B68"/>
    <w:rsid w:val="00AF6E9A"/>
    <w:rsid w:val="00B01D3C"/>
    <w:rsid w:val="00B02DD9"/>
    <w:rsid w:val="00B05EBA"/>
    <w:rsid w:val="00B05FB6"/>
    <w:rsid w:val="00B05FF3"/>
    <w:rsid w:val="00B06C64"/>
    <w:rsid w:val="00B0786D"/>
    <w:rsid w:val="00B07CDE"/>
    <w:rsid w:val="00B10B80"/>
    <w:rsid w:val="00B10BEB"/>
    <w:rsid w:val="00B11F39"/>
    <w:rsid w:val="00B12E70"/>
    <w:rsid w:val="00B130C1"/>
    <w:rsid w:val="00B13ED4"/>
    <w:rsid w:val="00B1479D"/>
    <w:rsid w:val="00B15084"/>
    <w:rsid w:val="00B15E78"/>
    <w:rsid w:val="00B1613F"/>
    <w:rsid w:val="00B17957"/>
    <w:rsid w:val="00B2018E"/>
    <w:rsid w:val="00B2042A"/>
    <w:rsid w:val="00B2237F"/>
    <w:rsid w:val="00B232AA"/>
    <w:rsid w:val="00B23E59"/>
    <w:rsid w:val="00B241AD"/>
    <w:rsid w:val="00B25784"/>
    <w:rsid w:val="00B276BA"/>
    <w:rsid w:val="00B278E5"/>
    <w:rsid w:val="00B30E3D"/>
    <w:rsid w:val="00B30F2B"/>
    <w:rsid w:val="00B316C4"/>
    <w:rsid w:val="00B318B1"/>
    <w:rsid w:val="00B329F0"/>
    <w:rsid w:val="00B3326C"/>
    <w:rsid w:val="00B34E08"/>
    <w:rsid w:val="00B350B3"/>
    <w:rsid w:val="00B35C73"/>
    <w:rsid w:val="00B36EE8"/>
    <w:rsid w:val="00B40138"/>
    <w:rsid w:val="00B40900"/>
    <w:rsid w:val="00B4180C"/>
    <w:rsid w:val="00B43264"/>
    <w:rsid w:val="00B439A0"/>
    <w:rsid w:val="00B43BE6"/>
    <w:rsid w:val="00B441BD"/>
    <w:rsid w:val="00B44D2D"/>
    <w:rsid w:val="00B45A97"/>
    <w:rsid w:val="00B4675A"/>
    <w:rsid w:val="00B46A6D"/>
    <w:rsid w:val="00B476EC"/>
    <w:rsid w:val="00B507B9"/>
    <w:rsid w:val="00B5147F"/>
    <w:rsid w:val="00B52911"/>
    <w:rsid w:val="00B52928"/>
    <w:rsid w:val="00B530DC"/>
    <w:rsid w:val="00B53263"/>
    <w:rsid w:val="00B53F3C"/>
    <w:rsid w:val="00B54BA6"/>
    <w:rsid w:val="00B555F3"/>
    <w:rsid w:val="00B62985"/>
    <w:rsid w:val="00B629BA"/>
    <w:rsid w:val="00B62B62"/>
    <w:rsid w:val="00B62BA5"/>
    <w:rsid w:val="00B62DE8"/>
    <w:rsid w:val="00B62FF9"/>
    <w:rsid w:val="00B630A2"/>
    <w:rsid w:val="00B663F8"/>
    <w:rsid w:val="00B663FE"/>
    <w:rsid w:val="00B67173"/>
    <w:rsid w:val="00B6763E"/>
    <w:rsid w:val="00B70C20"/>
    <w:rsid w:val="00B71036"/>
    <w:rsid w:val="00B71A2C"/>
    <w:rsid w:val="00B73F38"/>
    <w:rsid w:val="00B740FD"/>
    <w:rsid w:val="00B74474"/>
    <w:rsid w:val="00B76828"/>
    <w:rsid w:val="00B76848"/>
    <w:rsid w:val="00B77305"/>
    <w:rsid w:val="00B7797E"/>
    <w:rsid w:val="00B813AE"/>
    <w:rsid w:val="00B815C3"/>
    <w:rsid w:val="00B81F6E"/>
    <w:rsid w:val="00B8294F"/>
    <w:rsid w:val="00B829E2"/>
    <w:rsid w:val="00B82EB0"/>
    <w:rsid w:val="00B83BCC"/>
    <w:rsid w:val="00B83D52"/>
    <w:rsid w:val="00B841DB"/>
    <w:rsid w:val="00B8445F"/>
    <w:rsid w:val="00B84F66"/>
    <w:rsid w:val="00B870F1"/>
    <w:rsid w:val="00B87BA9"/>
    <w:rsid w:val="00B90169"/>
    <w:rsid w:val="00B9035F"/>
    <w:rsid w:val="00B91781"/>
    <w:rsid w:val="00B91C3D"/>
    <w:rsid w:val="00B9245E"/>
    <w:rsid w:val="00B92A12"/>
    <w:rsid w:val="00B9368E"/>
    <w:rsid w:val="00B93A4E"/>
    <w:rsid w:val="00B93E00"/>
    <w:rsid w:val="00B941B0"/>
    <w:rsid w:val="00B95B03"/>
    <w:rsid w:val="00B9611F"/>
    <w:rsid w:val="00B96235"/>
    <w:rsid w:val="00B96B86"/>
    <w:rsid w:val="00B97DA6"/>
    <w:rsid w:val="00BA1EAE"/>
    <w:rsid w:val="00BA3670"/>
    <w:rsid w:val="00BA4A7B"/>
    <w:rsid w:val="00BA4B64"/>
    <w:rsid w:val="00BA6145"/>
    <w:rsid w:val="00BA64B7"/>
    <w:rsid w:val="00BA7790"/>
    <w:rsid w:val="00BA7F6D"/>
    <w:rsid w:val="00BB00C2"/>
    <w:rsid w:val="00BB116B"/>
    <w:rsid w:val="00BB3032"/>
    <w:rsid w:val="00BB36D3"/>
    <w:rsid w:val="00BB384C"/>
    <w:rsid w:val="00BB3965"/>
    <w:rsid w:val="00BB4B72"/>
    <w:rsid w:val="00BB7166"/>
    <w:rsid w:val="00BB7319"/>
    <w:rsid w:val="00BB7BB7"/>
    <w:rsid w:val="00BC0437"/>
    <w:rsid w:val="00BC0786"/>
    <w:rsid w:val="00BC0894"/>
    <w:rsid w:val="00BC1D37"/>
    <w:rsid w:val="00BC3F6A"/>
    <w:rsid w:val="00BC44CB"/>
    <w:rsid w:val="00BC44EA"/>
    <w:rsid w:val="00BC468B"/>
    <w:rsid w:val="00BC4A96"/>
    <w:rsid w:val="00BC57F8"/>
    <w:rsid w:val="00BC5AC1"/>
    <w:rsid w:val="00BC5B35"/>
    <w:rsid w:val="00BC6896"/>
    <w:rsid w:val="00BC770B"/>
    <w:rsid w:val="00BD0960"/>
    <w:rsid w:val="00BD0A01"/>
    <w:rsid w:val="00BD1129"/>
    <w:rsid w:val="00BD2136"/>
    <w:rsid w:val="00BD2A3F"/>
    <w:rsid w:val="00BD2A8C"/>
    <w:rsid w:val="00BD450F"/>
    <w:rsid w:val="00BD5378"/>
    <w:rsid w:val="00BD53C1"/>
    <w:rsid w:val="00BD6564"/>
    <w:rsid w:val="00BD7644"/>
    <w:rsid w:val="00BD7747"/>
    <w:rsid w:val="00BE17E2"/>
    <w:rsid w:val="00BE28D2"/>
    <w:rsid w:val="00BE2A75"/>
    <w:rsid w:val="00BE2FFF"/>
    <w:rsid w:val="00BE3A01"/>
    <w:rsid w:val="00BE4313"/>
    <w:rsid w:val="00BE4417"/>
    <w:rsid w:val="00BE4E1B"/>
    <w:rsid w:val="00BE5A92"/>
    <w:rsid w:val="00BE735C"/>
    <w:rsid w:val="00BE7814"/>
    <w:rsid w:val="00BF066C"/>
    <w:rsid w:val="00BF1224"/>
    <w:rsid w:val="00BF1DAC"/>
    <w:rsid w:val="00BF2D4B"/>
    <w:rsid w:val="00BF3AE6"/>
    <w:rsid w:val="00BF3B80"/>
    <w:rsid w:val="00BF3C12"/>
    <w:rsid w:val="00BF4295"/>
    <w:rsid w:val="00BF5058"/>
    <w:rsid w:val="00BF60A7"/>
    <w:rsid w:val="00BF633A"/>
    <w:rsid w:val="00C003BC"/>
    <w:rsid w:val="00C009AE"/>
    <w:rsid w:val="00C012C3"/>
    <w:rsid w:val="00C021CC"/>
    <w:rsid w:val="00C03355"/>
    <w:rsid w:val="00C046CB"/>
    <w:rsid w:val="00C05FEE"/>
    <w:rsid w:val="00C06B99"/>
    <w:rsid w:val="00C06D35"/>
    <w:rsid w:val="00C07098"/>
    <w:rsid w:val="00C1025E"/>
    <w:rsid w:val="00C10AB8"/>
    <w:rsid w:val="00C10F75"/>
    <w:rsid w:val="00C11C82"/>
    <w:rsid w:val="00C11FF5"/>
    <w:rsid w:val="00C130C8"/>
    <w:rsid w:val="00C138BC"/>
    <w:rsid w:val="00C143B6"/>
    <w:rsid w:val="00C159FC"/>
    <w:rsid w:val="00C16982"/>
    <w:rsid w:val="00C17314"/>
    <w:rsid w:val="00C1765D"/>
    <w:rsid w:val="00C1776B"/>
    <w:rsid w:val="00C179CD"/>
    <w:rsid w:val="00C17A97"/>
    <w:rsid w:val="00C17DCA"/>
    <w:rsid w:val="00C202EE"/>
    <w:rsid w:val="00C21F8B"/>
    <w:rsid w:val="00C22037"/>
    <w:rsid w:val="00C22082"/>
    <w:rsid w:val="00C22E0A"/>
    <w:rsid w:val="00C24A7E"/>
    <w:rsid w:val="00C260E2"/>
    <w:rsid w:val="00C2791F"/>
    <w:rsid w:val="00C30487"/>
    <w:rsid w:val="00C309DF"/>
    <w:rsid w:val="00C30E7D"/>
    <w:rsid w:val="00C32112"/>
    <w:rsid w:val="00C325AB"/>
    <w:rsid w:val="00C328D2"/>
    <w:rsid w:val="00C3309B"/>
    <w:rsid w:val="00C331BF"/>
    <w:rsid w:val="00C3421E"/>
    <w:rsid w:val="00C3462C"/>
    <w:rsid w:val="00C3493C"/>
    <w:rsid w:val="00C352E4"/>
    <w:rsid w:val="00C356D8"/>
    <w:rsid w:val="00C35EC8"/>
    <w:rsid w:val="00C37451"/>
    <w:rsid w:val="00C4050A"/>
    <w:rsid w:val="00C413C2"/>
    <w:rsid w:val="00C42783"/>
    <w:rsid w:val="00C440EC"/>
    <w:rsid w:val="00C44256"/>
    <w:rsid w:val="00C44804"/>
    <w:rsid w:val="00C44D0D"/>
    <w:rsid w:val="00C451FE"/>
    <w:rsid w:val="00C45DB6"/>
    <w:rsid w:val="00C474E1"/>
    <w:rsid w:val="00C47935"/>
    <w:rsid w:val="00C47DC3"/>
    <w:rsid w:val="00C50559"/>
    <w:rsid w:val="00C518F8"/>
    <w:rsid w:val="00C51AE1"/>
    <w:rsid w:val="00C52EDD"/>
    <w:rsid w:val="00C530EB"/>
    <w:rsid w:val="00C53C9E"/>
    <w:rsid w:val="00C53EC3"/>
    <w:rsid w:val="00C54908"/>
    <w:rsid w:val="00C557EF"/>
    <w:rsid w:val="00C561A2"/>
    <w:rsid w:val="00C56713"/>
    <w:rsid w:val="00C57A4B"/>
    <w:rsid w:val="00C60B12"/>
    <w:rsid w:val="00C60D50"/>
    <w:rsid w:val="00C614B0"/>
    <w:rsid w:val="00C6184C"/>
    <w:rsid w:val="00C61A93"/>
    <w:rsid w:val="00C6252A"/>
    <w:rsid w:val="00C62C38"/>
    <w:rsid w:val="00C632B7"/>
    <w:rsid w:val="00C63484"/>
    <w:rsid w:val="00C63D0B"/>
    <w:rsid w:val="00C65FFA"/>
    <w:rsid w:val="00C675C9"/>
    <w:rsid w:val="00C702F9"/>
    <w:rsid w:val="00C71DD4"/>
    <w:rsid w:val="00C721E9"/>
    <w:rsid w:val="00C726E6"/>
    <w:rsid w:val="00C72DC7"/>
    <w:rsid w:val="00C731B9"/>
    <w:rsid w:val="00C759D6"/>
    <w:rsid w:val="00C765EA"/>
    <w:rsid w:val="00C767A9"/>
    <w:rsid w:val="00C771E7"/>
    <w:rsid w:val="00C80938"/>
    <w:rsid w:val="00C82424"/>
    <w:rsid w:val="00C84482"/>
    <w:rsid w:val="00C84D17"/>
    <w:rsid w:val="00C854BF"/>
    <w:rsid w:val="00C87BBA"/>
    <w:rsid w:val="00C9033B"/>
    <w:rsid w:val="00C90689"/>
    <w:rsid w:val="00C90807"/>
    <w:rsid w:val="00C913E2"/>
    <w:rsid w:val="00C91517"/>
    <w:rsid w:val="00C916E6"/>
    <w:rsid w:val="00C917ED"/>
    <w:rsid w:val="00C93473"/>
    <w:rsid w:val="00C93530"/>
    <w:rsid w:val="00C93723"/>
    <w:rsid w:val="00C93E5C"/>
    <w:rsid w:val="00C947B8"/>
    <w:rsid w:val="00C959F8"/>
    <w:rsid w:val="00C964DF"/>
    <w:rsid w:val="00C96732"/>
    <w:rsid w:val="00C970F1"/>
    <w:rsid w:val="00C971CB"/>
    <w:rsid w:val="00C9729D"/>
    <w:rsid w:val="00C97918"/>
    <w:rsid w:val="00CA05E0"/>
    <w:rsid w:val="00CA0913"/>
    <w:rsid w:val="00CA0B7E"/>
    <w:rsid w:val="00CA0D1C"/>
    <w:rsid w:val="00CA1B6A"/>
    <w:rsid w:val="00CA2371"/>
    <w:rsid w:val="00CA393E"/>
    <w:rsid w:val="00CA43E9"/>
    <w:rsid w:val="00CA4468"/>
    <w:rsid w:val="00CA4749"/>
    <w:rsid w:val="00CA4CCD"/>
    <w:rsid w:val="00CA5A41"/>
    <w:rsid w:val="00CA6701"/>
    <w:rsid w:val="00CA6EA7"/>
    <w:rsid w:val="00CA7263"/>
    <w:rsid w:val="00CA76B5"/>
    <w:rsid w:val="00CA7A3D"/>
    <w:rsid w:val="00CB076F"/>
    <w:rsid w:val="00CB1798"/>
    <w:rsid w:val="00CB27D4"/>
    <w:rsid w:val="00CB2BB6"/>
    <w:rsid w:val="00CB4824"/>
    <w:rsid w:val="00CB5315"/>
    <w:rsid w:val="00CB577A"/>
    <w:rsid w:val="00CB583C"/>
    <w:rsid w:val="00CB5A75"/>
    <w:rsid w:val="00CB77A0"/>
    <w:rsid w:val="00CB7ECA"/>
    <w:rsid w:val="00CC0A84"/>
    <w:rsid w:val="00CC0F1E"/>
    <w:rsid w:val="00CC12E3"/>
    <w:rsid w:val="00CC31C9"/>
    <w:rsid w:val="00CC49AC"/>
    <w:rsid w:val="00CC6E00"/>
    <w:rsid w:val="00CC78C3"/>
    <w:rsid w:val="00CD0144"/>
    <w:rsid w:val="00CD2749"/>
    <w:rsid w:val="00CD4C68"/>
    <w:rsid w:val="00CD5EFD"/>
    <w:rsid w:val="00CE2833"/>
    <w:rsid w:val="00CE3670"/>
    <w:rsid w:val="00CE3904"/>
    <w:rsid w:val="00CE3D6B"/>
    <w:rsid w:val="00CE51C3"/>
    <w:rsid w:val="00CE553C"/>
    <w:rsid w:val="00CE557F"/>
    <w:rsid w:val="00CE7D80"/>
    <w:rsid w:val="00CF0D75"/>
    <w:rsid w:val="00CF1DC5"/>
    <w:rsid w:val="00CF405A"/>
    <w:rsid w:val="00CF5268"/>
    <w:rsid w:val="00CF52C1"/>
    <w:rsid w:val="00CF5460"/>
    <w:rsid w:val="00CF7CFD"/>
    <w:rsid w:val="00D01DC9"/>
    <w:rsid w:val="00D021A0"/>
    <w:rsid w:val="00D0286B"/>
    <w:rsid w:val="00D02A33"/>
    <w:rsid w:val="00D02DFC"/>
    <w:rsid w:val="00D035F1"/>
    <w:rsid w:val="00D03F44"/>
    <w:rsid w:val="00D042D5"/>
    <w:rsid w:val="00D04B97"/>
    <w:rsid w:val="00D0500F"/>
    <w:rsid w:val="00D05DE4"/>
    <w:rsid w:val="00D10CAD"/>
    <w:rsid w:val="00D11D8B"/>
    <w:rsid w:val="00D1276B"/>
    <w:rsid w:val="00D12814"/>
    <w:rsid w:val="00D1392E"/>
    <w:rsid w:val="00D141C4"/>
    <w:rsid w:val="00D14DBE"/>
    <w:rsid w:val="00D163BE"/>
    <w:rsid w:val="00D17060"/>
    <w:rsid w:val="00D1759D"/>
    <w:rsid w:val="00D17826"/>
    <w:rsid w:val="00D21408"/>
    <w:rsid w:val="00D21B9F"/>
    <w:rsid w:val="00D2247D"/>
    <w:rsid w:val="00D22A24"/>
    <w:rsid w:val="00D22C19"/>
    <w:rsid w:val="00D233D2"/>
    <w:rsid w:val="00D2351F"/>
    <w:rsid w:val="00D25110"/>
    <w:rsid w:val="00D255AC"/>
    <w:rsid w:val="00D25DD1"/>
    <w:rsid w:val="00D2625A"/>
    <w:rsid w:val="00D2634E"/>
    <w:rsid w:val="00D27694"/>
    <w:rsid w:val="00D27BA4"/>
    <w:rsid w:val="00D30742"/>
    <w:rsid w:val="00D30F6D"/>
    <w:rsid w:val="00D31A7A"/>
    <w:rsid w:val="00D31B6A"/>
    <w:rsid w:val="00D320E4"/>
    <w:rsid w:val="00D321B9"/>
    <w:rsid w:val="00D32354"/>
    <w:rsid w:val="00D34DE6"/>
    <w:rsid w:val="00D378CD"/>
    <w:rsid w:val="00D37B67"/>
    <w:rsid w:val="00D37D46"/>
    <w:rsid w:val="00D40184"/>
    <w:rsid w:val="00D4037E"/>
    <w:rsid w:val="00D408A5"/>
    <w:rsid w:val="00D413F4"/>
    <w:rsid w:val="00D416BD"/>
    <w:rsid w:val="00D41B56"/>
    <w:rsid w:val="00D42400"/>
    <w:rsid w:val="00D42572"/>
    <w:rsid w:val="00D43550"/>
    <w:rsid w:val="00D43D6A"/>
    <w:rsid w:val="00D44D05"/>
    <w:rsid w:val="00D454A0"/>
    <w:rsid w:val="00D457A5"/>
    <w:rsid w:val="00D45F42"/>
    <w:rsid w:val="00D462E2"/>
    <w:rsid w:val="00D4668A"/>
    <w:rsid w:val="00D46E93"/>
    <w:rsid w:val="00D4701D"/>
    <w:rsid w:val="00D509CF"/>
    <w:rsid w:val="00D51715"/>
    <w:rsid w:val="00D52E93"/>
    <w:rsid w:val="00D53180"/>
    <w:rsid w:val="00D5319B"/>
    <w:rsid w:val="00D53C94"/>
    <w:rsid w:val="00D5470C"/>
    <w:rsid w:val="00D54C59"/>
    <w:rsid w:val="00D55054"/>
    <w:rsid w:val="00D55253"/>
    <w:rsid w:val="00D55B14"/>
    <w:rsid w:val="00D569B4"/>
    <w:rsid w:val="00D61DBD"/>
    <w:rsid w:val="00D6254F"/>
    <w:rsid w:val="00D6255E"/>
    <w:rsid w:val="00D63C44"/>
    <w:rsid w:val="00D641BC"/>
    <w:rsid w:val="00D658A7"/>
    <w:rsid w:val="00D659DC"/>
    <w:rsid w:val="00D669FE"/>
    <w:rsid w:val="00D66E82"/>
    <w:rsid w:val="00D6778F"/>
    <w:rsid w:val="00D70599"/>
    <w:rsid w:val="00D70E74"/>
    <w:rsid w:val="00D712AB"/>
    <w:rsid w:val="00D71E97"/>
    <w:rsid w:val="00D72585"/>
    <w:rsid w:val="00D729C4"/>
    <w:rsid w:val="00D730FA"/>
    <w:rsid w:val="00D7384C"/>
    <w:rsid w:val="00D745DF"/>
    <w:rsid w:val="00D74E2A"/>
    <w:rsid w:val="00D74F9B"/>
    <w:rsid w:val="00D75006"/>
    <w:rsid w:val="00D756F9"/>
    <w:rsid w:val="00D75B8F"/>
    <w:rsid w:val="00D76156"/>
    <w:rsid w:val="00D7653E"/>
    <w:rsid w:val="00D7661B"/>
    <w:rsid w:val="00D76C3D"/>
    <w:rsid w:val="00D76CE8"/>
    <w:rsid w:val="00D775CB"/>
    <w:rsid w:val="00D83498"/>
    <w:rsid w:val="00D8426F"/>
    <w:rsid w:val="00D84775"/>
    <w:rsid w:val="00D84887"/>
    <w:rsid w:val="00D855FC"/>
    <w:rsid w:val="00D85F18"/>
    <w:rsid w:val="00D8645D"/>
    <w:rsid w:val="00D874A9"/>
    <w:rsid w:val="00D87C0D"/>
    <w:rsid w:val="00D90089"/>
    <w:rsid w:val="00D9068C"/>
    <w:rsid w:val="00D90BE3"/>
    <w:rsid w:val="00D90BF6"/>
    <w:rsid w:val="00D9126F"/>
    <w:rsid w:val="00D929C2"/>
    <w:rsid w:val="00D94B2A"/>
    <w:rsid w:val="00D94DDF"/>
    <w:rsid w:val="00D9521D"/>
    <w:rsid w:val="00D97D6D"/>
    <w:rsid w:val="00DA0047"/>
    <w:rsid w:val="00DA23FF"/>
    <w:rsid w:val="00DA2E3B"/>
    <w:rsid w:val="00DA2F26"/>
    <w:rsid w:val="00DA2FBE"/>
    <w:rsid w:val="00DA32BD"/>
    <w:rsid w:val="00DA32FD"/>
    <w:rsid w:val="00DA34AB"/>
    <w:rsid w:val="00DA451B"/>
    <w:rsid w:val="00DA4B06"/>
    <w:rsid w:val="00DA5A82"/>
    <w:rsid w:val="00DA678E"/>
    <w:rsid w:val="00DA6E42"/>
    <w:rsid w:val="00DA73F7"/>
    <w:rsid w:val="00DA77DA"/>
    <w:rsid w:val="00DA7C3A"/>
    <w:rsid w:val="00DB03D2"/>
    <w:rsid w:val="00DB4384"/>
    <w:rsid w:val="00DB632B"/>
    <w:rsid w:val="00DB6418"/>
    <w:rsid w:val="00DC009C"/>
    <w:rsid w:val="00DC02E7"/>
    <w:rsid w:val="00DC08E5"/>
    <w:rsid w:val="00DC139D"/>
    <w:rsid w:val="00DC1442"/>
    <w:rsid w:val="00DC252E"/>
    <w:rsid w:val="00DC27AC"/>
    <w:rsid w:val="00DC3430"/>
    <w:rsid w:val="00DC3F86"/>
    <w:rsid w:val="00DC4ABF"/>
    <w:rsid w:val="00DC4FCD"/>
    <w:rsid w:val="00DC710B"/>
    <w:rsid w:val="00DD01A8"/>
    <w:rsid w:val="00DD11D6"/>
    <w:rsid w:val="00DD3683"/>
    <w:rsid w:val="00DD4AC6"/>
    <w:rsid w:val="00DD562B"/>
    <w:rsid w:val="00DD6F40"/>
    <w:rsid w:val="00DD761E"/>
    <w:rsid w:val="00DE0CE1"/>
    <w:rsid w:val="00DE154F"/>
    <w:rsid w:val="00DE33D4"/>
    <w:rsid w:val="00DE3D31"/>
    <w:rsid w:val="00DE41B4"/>
    <w:rsid w:val="00DE435A"/>
    <w:rsid w:val="00DE4EE7"/>
    <w:rsid w:val="00DE50A6"/>
    <w:rsid w:val="00DE5849"/>
    <w:rsid w:val="00DE78F2"/>
    <w:rsid w:val="00DF12F7"/>
    <w:rsid w:val="00DF1429"/>
    <w:rsid w:val="00DF19BD"/>
    <w:rsid w:val="00DF2A21"/>
    <w:rsid w:val="00DF2FE5"/>
    <w:rsid w:val="00DF3771"/>
    <w:rsid w:val="00DF3B8C"/>
    <w:rsid w:val="00DF4E4E"/>
    <w:rsid w:val="00DF5C61"/>
    <w:rsid w:val="00DF624E"/>
    <w:rsid w:val="00DF6534"/>
    <w:rsid w:val="00DF701D"/>
    <w:rsid w:val="00DF752C"/>
    <w:rsid w:val="00E00C83"/>
    <w:rsid w:val="00E0103C"/>
    <w:rsid w:val="00E01327"/>
    <w:rsid w:val="00E01381"/>
    <w:rsid w:val="00E013B1"/>
    <w:rsid w:val="00E017B7"/>
    <w:rsid w:val="00E04AE2"/>
    <w:rsid w:val="00E05B78"/>
    <w:rsid w:val="00E05C72"/>
    <w:rsid w:val="00E05DFA"/>
    <w:rsid w:val="00E0624E"/>
    <w:rsid w:val="00E066BA"/>
    <w:rsid w:val="00E06CCC"/>
    <w:rsid w:val="00E1166F"/>
    <w:rsid w:val="00E119F9"/>
    <w:rsid w:val="00E11BD7"/>
    <w:rsid w:val="00E12933"/>
    <w:rsid w:val="00E134D4"/>
    <w:rsid w:val="00E1382C"/>
    <w:rsid w:val="00E151BF"/>
    <w:rsid w:val="00E1548D"/>
    <w:rsid w:val="00E1795F"/>
    <w:rsid w:val="00E20E8F"/>
    <w:rsid w:val="00E21820"/>
    <w:rsid w:val="00E2242C"/>
    <w:rsid w:val="00E2323E"/>
    <w:rsid w:val="00E239EB"/>
    <w:rsid w:val="00E2401E"/>
    <w:rsid w:val="00E247D6"/>
    <w:rsid w:val="00E25392"/>
    <w:rsid w:val="00E2601F"/>
    <w:rsid w:val="00E26076"/>
    <w:rsid w:val="00E269C0"/>
    <w:rsid w:val="00E26BA1"/>
    <w:rsid w:val="00E30321"/>
    <w:rsid w:val="00E307DE"/>
    <w:rsid w:val="00E309A6"/>
    <w:rsid w:val="00E30B9C"/>
    <w:rsid w:val="00E3142D"/>
    <w:rsid w:val="00E329C9"/>
    <w:rsid w:val="00E3302D"/>
    <w:rsid w:val="00E36834"/>
    <w:rsid w:val="00E3696F"/>
    <w:rsid w:val="00E400EA"/>
    <w:rsid w:val="00E414AB"/>
    <w:rsid w:val="00E41876"/>
    <w:rsid w:val="00E42676"/>
    <w:rsid w:val="00E43807"/>
    <w:rsid w:val="00E466E7"/>
    <w:rsid w:val="00E470A9"/>
    <w:rsid w:val="00E51BF9"/>
    <w:rsid w:val="00E51E6D"/>
    <w:rsid w:val="00E52D9D"/>
    <w:rsid w:val="00E53A05"/>
    <w:rsid w:val="00E5491D"/>
    <w:rsid w:val="00E5560F"/>
    <w:rsid w:val="00E559D9"/>
    <w:rsid w:val="00E55EAD"/>
    <w:rsid w:val="00E56B97"/>
    <w:rsid w:val="00E56E44"/>
    <w:rsid w:val="00E56E54"/>
    <w:rsid w:val="00E57405"/>
    <w:rsid w:val="00E57DCC"/>
    <w:rsid w:val="00E602F8"/>
    <w:rsid w:val="00E61BED"/>
    <w:rsid w:val="00E64A67"/>
    <w:rsid w:val="00E66103"/>
    <w:rsid w:val="00E66A12"/>
    <w:rsid w:val="00E66C5A"/>
    <w:rsid w:val="00E66D1B"/>
    <w:rsid w:val="00E6716E"/>
    <w:rsid w:val="00E672A2"/>
    <w:rsid w:val="00E7030F"/>
    <w:rsid w:val="00E7033E"/>
    <w:rsid w:val="00E70916"/>
    <w:rsid w:val="00E70D40"/>
    <w:rsid w:val="00E70F6E"/>
    <w:rsid w:val="00E70FC1"/>
    <w:rsid w:val="00E716C3"/>
    <w:rsid w:val="00E71B7E"/>
    <w:rsid w:val="00E72008"/>
    <w:rsid w:val="00E72014"/>
    <w:rsid w:val="00E721AC"/>
    <w:rsid w:val="00E72F14"/>
    <w:rsid w:val="00E73F2B"/>
    <w:rsid w:val="00E7439C"/>
    <w:rsid w:val="00E76D09"/>
    <w:rsid w:val="00E800A7"/>
    <w:rsid w:val="00E801A8"/>
    <w:rsid w:val="00E80653"/>
    <w:rsid w:val="00E817B6"/>
    <w:rsid w:val="00E82BE5"/>
    <w:rsid w:val="00E833D7"/>
    <w:rsid w:val="00E83426"/>
    <w:rsid w:val="00E83868"/>
    <w:rsid w:val="00E8390A"/>
    <w:rsid w:val="00E846A3"/>
    <w:rsid w:val="00E85F3A"/>
    <w:rsid w:val="00E87258"/>
    <w:rsid w:val="00E902E6"/>
    <w:rsid w:val="00E91BF7"/>
    <w:rsid w:val="00E92115"/>
    <w:rsid w:val="00E9442A"/>
    <w:rsid w:val="00E951FB"/>
    <w:rsid w:val="00E953F1"/>
    <w:rsid w:val="00E95EA0"/>
    <w:rsid w:val="00E9682B"/>
    <w:rsid w:val="00E96B20"/>
    <w:rsid w:val="00EA049A"/>
    <w:rsid w:val="00EA0A5B"/>
    <w:rsid w:val="00EA1A01"/>
    <w:rsid w:val="00EA1E15"/>
    <w:rsid w:val="00EA3027"/>
    <w:rsid w:val="00EA31E2"/>
    <w:rsid w:val="00EA6745"/>
    <w:rsid w:val="00EA70B5"/>
    <w:rsid w:val="00EB1CFC"/>
    <w:rsid w:val="00EB1E6E"/>
    <w:rsid w:val="00EB2888"/>
    <w:rsid w:val="00EB2F78"/>
    <w:rsid w:val="00EB323C"/>
    <w:rsid w:val="00EB34CA"/>
    <w:rsid w:val="00EB386B"/>
    <w:rsid w:val="00EB6C3F"/>
    <w:rsid w:val="00EC1581"/>
    <w:rsid w:val="00EC1CFB"/>
    <w:rsid w:val="00EC1E13"/>
    <w:rsid w:val="00EC224F"/>
    <w:rsid w:val="00EC2476"/>
    <w:rsid w:val="00EC267F"/>
    <w:rsid w:val="00EC27A3"/>
    <w:rsid w:val="00EC3414"/>
    <w:rsid w:val="00EC3D5D"/>
    <w:rsid w:val="00EC54F7"/>
    <w:rsid w:val="00EC55B9"/>
    <w:rsid w:val="00EC67F3"/>
    <w:rsid w:val="00EC6EA5"/>
    <w:rsid w:val="00EC7088"/>
    <w:rsid w:val="00EC7582"/>
    <w:rsid w:val="00ED32A1"/>
    <w:rsid w:val="00ED3B78"/>
    <w:rsid w:val="00ED4534"/>
    <w:rsid w:val="00ED55AA"/>
    <w:rsid w:val="00ED59DB"/>
    <w:rsid w:val="00ED7C74"/>
    <w:rsid w:val="00EE0A6B"/>
    <w:rsid w:val="00EE1957"/>
    <w:rsid w:val="00EE223E"/>
    <w:rsid w:val="00EE24B1"/>
    <w:rsid w:val="00EE3575"/>
    <w:rsid w:val="00EE4609"/>
    <w:rsid w:val="00EE5F23"/>
    <w:rsid w:val="00EE7949"/>
    <w:rsid w:val="00EE7CF5"/>
    <w:rsid w:val="00EF1A40"/>
    <w:rsid w:val="00EF2328"/>
    <w:rsid w:val="00EF2AC3"/>
    <w:rsid w:val="00EF3E61"/>
    <w:rsid w:val="00EF40B6"/>
    <w:rsid w:val="00EF48AE"/>
    <w:rsid w:val="00EF5AE9"/>
    <w:rsid w:val="00EF5DEB"/>
    <w:rsid w:val="00EF6A05"/>
    <w:rsid w:val="00EF71E2"/>
    <w:rsid w:val="00F00269"/>
    <w:rsid w:val="00F007AB"/>
    <w:rsid w:val="00F00B7C"/>
    <w:rsid w:val="00F01931"/>
    <w:rsid w:val="00F01AE0"/>
    <w:rsid w:val="00F01FF5"/>
    <w:rsid w:val="00F02415"/>
    <w:rsid w:val="00F0245C"/>
    <w:rsid w:val="00F02DDC"/>
    <w:rsid w:val="00F03CF3"/>
    <w:rsid w:val="00F04A83"/>
    <w:rsid w:val="00F076D9"/>
    <w:rsid w:val="00F10222"/>
    <w:rsid w:val="00F102AB"/>
    <w:rsid w:val="00F10400"/>
    <w:rsid w:val="00F10732"/>
    <w:rsid w:val="00F111FE"/>
    <w:rsid w:val="00F11683"/>
    <w:rsid w:val="00F13F71"/>
    <w:rsid w:val="00F14AA2"/>
    <w:rsid w:val="00F16590"/>
    <w:rsid w:val="00F17864"/>
    <w:rsid w:val="00F179A8"/>
    <w:rsid w:val="00F17DF8"/>
    <w:rsid w:val="00F2173A"/>
    <w:rsid w:val="00F2299D"/>
    <w:rsid w:val="00F22A70"/>
    <w:rsid w:val="00F24807"/>
    <w:rsid w:val="00F24F75"/>
    <w:rsid w:val="00F26354"/>
    <w:rsid w:val="00F2642A"/>
    <w:rsid w:val="00F27EA2"/>
    <w:rsid w:val="00F30D00"/>
    <w:rsid w:val="00F30DCC"/>
    <w:rsid w:val="00F312D8"/>
    <w:rsid w:val="00F326F2"/>
    <w:rsid w:val="00F32E5A"/>
    <w:rsid w:val="00F32F39"/>
    <w:rsid w:val="00F332BA"/>
    <w:rsid w:val="00F33DF9"/>
    <w:rsid w:val="00F33E0E"/>
    <w:rsid w:val="00F3429F"/>
    <w:rsid w:val="00F37239"/>
    <w:rsid w:val="00F3730C"/>
    <w:rsid w:val="00F40355"/>
    <w:rsid w:val="00F4043C"/>
    <w:rsid w:val="00F41978"/>
    <w:rsid w:val="00F4252B"/>
    <w:rsid w:val="00F43BE7"/>
    <w:rsid w:val="00F449B3"/>
    <w:rsid w:val="00F44FA8"/>
    <w:rsid w:val="00F45E33"/>
    <w:rsid w:val="00F46251"/>
    <w:rsid w:val="00F47C36"/>
    <w:rsid w:val="00F50F22"/>
    <w:rsid w:val="00F510FF"/>
    <w:rsid w:val="00F51E0E"/>
    <w:rsid w:val="00F522FE"/>
    <w:rsid w:val="00F54478"/>
    <w:rsid w:val="00F54782"/>
    <w:rsid w:val="00F54944"/>
    <w:rsid w:val="00F54AA4"/>
    <w:rsid w:val="00F55848"/>
    <w:rsid w:val="00F57529"/>
    <w:rsid w:val="00F60D7A"/>
    <w:rsid w:val="00F639C7"/>
    <w:rsid w:val="00F63EB2"/>
    <w:rsid w:val="00F649C2"/>
    <w:rsid w:val="00F64AB3"/>
    <w:rsid w:val="00F660AD"/>
    <w:rsid w:val="00F6621B"/>
    <w:rsid w:val="00F667D1"/>
    <w:rsid w:val="00F66A25"/>
    <w:rsid w:val="00F66D5E"/>
    <w:rsid w:val="00F66D7F"/>
    <w:rsid w:val="00F67B85"/>
    <w:rsid w:val="00F70DC5"/>
    <w:rsid w:val="00F71C26"/>
    <w:rsid w:val="00F721B6"/>
    <w:rsid w:val="00F73145"/>
    <w:rsid w:val="00F731C5"/>
    <w:rsid w:val="00F73536"/>
    <w:rsid w:val="00F73C16"/>
    <w:rsid w:val="00F74B72"/>
    <w:rsid w:val="00F75620"/>
    <w:rsid w:val="00F7718F"/>
    <w:rsid w:val="00F7732F"/>
    <w:rsid w:val="00F817E7"/>
    <w:rsid w:val="00F82956"/>
    <w:rsid w:val="00F8346E"/>
    <w:rsid w:val="00F834A7"/>
    <w:rsid w:val="00F83D19"/>
    <w:rsid w:val="00F8481F"/>
    <w:rsid w:val="00F848EE"/>
    <w:rsid w:val="00F8492C"/>
    <w:rsid w:val="00F84B55"/>
    <w:rsid w:val="00F860E8"/>
    <w:rsid w:val="00F863ED"/>
    <w:rsid w:val="00F875BD"/>
    <w:rsid w:val="00F909F5"/>
    <w:rsid w:val="00F911FF"/>
    <w:rsid w:val="00F93957"/>
    <w:rsid w:val="00F953ED"/>
    <w:rsid w:val="00F96E99"/>
    <w:rsid w:val="00F96F52"/>
    <w:rsid w:val="00F97173"/>
    <w:rsid w:val="00FA079B"/>
    <w:rsid w:val="00FA1025"/>
    <w:rsid w:val="00FA1F15"/>
    <w:rsid w:val="00FA22FF"/>
    <w:rsid w:val="00FA41A4"/>
    <w:rsid w:val="00FA4EA1"/>
    <w:rsid w:val="00FA5C25"/>
    <w:rsid w:val="00FA7967"/>
    <w:rsid w:val="00FA7E8D"/>
    <w:rsid w:val="00FB0EF9"/>
    <w:rsid w:val="00FB1257"/>
    <w:rsid w:val="00FB415A"/>
    <w:rsid w:val="00FB444C"/>
    <w:rsid w:val="00FB5185"/>
    <w:rsid w:val="00FB5FE7"/>
    <w:rsid w:val="00FB7675"/>
    <w:rsid w:val="00FB797E"/>
    <w:rsid w:val="00FC09C7"/>
    <w:rsid w:val="00FC29C8"/>
    <w:rsid w:val="00FC2B37"/>
    <w:rsid w:val="00FC398B"/>
    <w:rsid w:val="00FC3ECA"/>
    <w:rsid w:val="00FC4B27"/>
    <w:rsid w:val="00FC5C6C"/>
    <w:rsid w:val="00FC6415"/>
    <w:rsid w:val="00FC740E"/>
    <w:rsid w:val="00FD09E1"/>
    <w:rsid w:val="00FD0F7B"/>
    <w:rsid w:val="00FD245C"/>
    <w:rsid w:val="00FD2648"/>
    <w:rsid w:val="00FD3228"/>
    <w:rsid w:val="00FD452C"/>
    <w:rsid w:val="00FD5761"/>
    <w:rsid w:val="00FD5AAA"/>
    <w:rsid w:val="00FD5C91"/>
    <w:rsid w:val="00FD5CE3"/>
    <w:rsid w:val="00FD62B8"/>
    <w:rsid w:val="00FD77DD"/>
    <w:rsid w:val="00FE0283"/>
    <w:rsid w:val="00FE0829"/>
    <w:rsid w:val="00FE0EC7"/>
    <w:rsid w:val="00FE0F7F"/>
    <w:rsid w:val="00FE1760"/>
    <w:rsid w:val="00FE1923"/>
    <w:rsid w:val="00FE19D4"/>
    <w:rsid w:val="00FE1A7A"/>
    <w:rsid w:val="00FE235C"/>
    <w:rsid w:val="00FE2840"/>
    <w:rsid w:val="00FE3503"/>
    <w:rsid w:val="00FE3B75"/>
    <w:rsid w:val="00FE3BB0"/>
    <w:rsid w:val="00FE4102"/>
    <w:rsid w:val="00FE43C1"/>
    <w:rsid w:val="00FE765E"/>
    <w:rsid w:val="00FE78E1"/>
    <w:rsid w:val="00FE7C32"/>
    <w:rsid w:val="00FF1C2F"/>
    <w:rsid w:val="00FF230F"/>
    <w:rsid w:val="00FF297C"/>
    <w:rsid w:val="00FF3F21"/>
    <w:rsid w:val="00FF5B01"/>
    <w:rsid w:val="00FF75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41CC2"/>
  <w15:docId w15:val="{1753A46D-33D4-45F1-A959-D0616637E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B83"/>
    <w:pPr>
      <w:spacing w:before="120" w:after="120" w:line="360" w:lineRule="auto"/>
      <w:jc w:val="both"/>
    </w:pPr>
    <w:rPr>
      <w:rFonts w:ascii="Verdana" w:hAnsi="Verdana"/>
      <w:sz w:val="18"/>
      <w:szCs w:val="22"/>
    </w:rPr>
  </w:style>
  <w:style w:type="paragraph" w:styleId="Heading1">
    <w:name w:val="heading 1"/>
    <w:basedOn w:val="Normal"/>
    <w:next w:val="Normal"/>
    <w:link w:val="Heading1Char"/>
    <w:uiPriority w:val="9"/>
    <w:qFormat/>
    <w:rsid w:val="00621B83"/>
    <w:pPr>
      <w:keepNext/>
      <w:keepLines/>
      <w:numPr>
        <w:numId w:val="1"/>
      </w:numPr>
      <w:tabs>
        <w:tab w:val="left" w:pos="426"/>
      </w:tabs>
      <w:spacing w:before="480" w:after="200" w:line="276" w:lineRule="auto"/>
      <w:outlineLvl w:val="0"/>
    </w:pPr>
    <w:rPr>
      <w:b/>
      <w:bCs/>
      <w:caps/>
      <w:color w:val="C45911"/>
      <w:szCs w:val="28"/>
      <w:lang w:val="cs-CZ" w:eastAsia="ar-SA"/>
    </w:rPr>
  </w:style>
  <w:style w:type="paragraph" w:styleId="Heading2">
    <w:name w:val="heading 2"/>
    <w:basedOn w:val="Normal"/>
    <w:next w:val="Normal"/>
    <w:link w:val="Heading2Char"/>
    <w:uiPriority w:val="9"/>
    <w:unhideWhenUsed/>
    <w:qFormat/>
    <w:rsid w:val="00621B83"/>
    <w:pPr>
      <w:keepNext/>
      <w:keepLines/>
      <w:numPr>
        <w:ilvl w:val="1"/>
        <w:numId w:val="1"/>
      </w:numPr>
      <w:tabs>
        <w:tab w:val="left" w:pos="993"/>
      </w:tabs>
      <w:spacing w:line="276" w:lineRule="auto"/>
      <w:outlineLvl w:val="1"/>
    </w:pPr>
    <w:rPr>
      <w:b/>
      <w:caps/>
      <w:color w:val="C45911"/>
      <w:lang w:eastAsia="ar-SA"/>
    </w:rPr>
  </w:style>
  <w:style w:type="paragraph" w:styleId="Heading3">
    <w:name w:val="heading 3"/>
    <w:basedOn w:val="Normal"/>
    <w:next w:val="Normal"/>
    <w:link w:val="Heading3Char"/>
    <w:uiPriority w:val="9"/>
    <w:unhideWhenUsed/>
    <w:qFormat/>
    <w:rsid w:val="00621B83"/>
    <w:pPr>
      <w:keepNext/>
      <w:keepLines/>
      <w:numPr>
        <w:ilvl w:val="2"/>
        <w:numId w:val="1"/>
      </w:numPr>
      <w:tabs>
        <w:tab w:val="clear" w:pos="2520"/>
        <w:tab w:val="num" w:pos="1920"/>
      </w:tabs>
      <w:suppressAutoHyphens/>
      <w:spacing w:before="200"/>
      <w:ind w:left="1920"/>
      <w:outlineLvl w:val="2"/>
    </w:pPr>
    <w:rPr>
      <w:b/>
      <w:bCs/>
      <w:color w:val="C45911"/>
      <w:szCs w:val="24"/>
      <w:lang w:val="cs-CZ" w:eastAsia="ar-SA"/>
    </w:rPr>
  </w:style>
  <w:style w:type="paragraph" w:styleId="Heading4">
    <w:name w:val="heading 4"/>
    <w:basedOn w:val="Normal"/>
    <w:next w:val="Normal"/>
    <w:link w:val="Heading4Char"/>
    <w:uiPriority w:val="9"/>
    <w:unhideWhenUsed/>
    <w:qFormat/>
    <w:rsid w:val="00621B83"/>
    <w:pPr>
      <w:keepNext/>
      <w:keepLines/>
      <w:tabs>
        <w:tab w:val="num" w:pos="1920"/>
      </w:tabs>
      <w:suppressAutoHyphens/>
      <w:spacing w:before="200" w:after="0"/>
      <w:ind w:left="1920" w:hanging="720"/>
      <w:outlineLvl w:val="3"/>
    </w:pPr>
    <w:rPr>
      <w:b/>
      <w:bCs/>
      <w:iCs/>
      <w:color w:val="365F91"/>
      <w:szCs w:val="24"/>
      <w:lang w:val="cs-CZ" w:eastAsia="ar-SA"/>
    </w:rPr>
  </w:style>
  <w:style w:type="paragraph" w:styleId="Heading5">
    <w:name w:val="heading 5"/>
    <w:basedOn w:val="Normal"/>
    <w:next w:val="Normal"/>
    <w:link w:val="Heading5Char"/>
    <w:uiPriority w:val="9"/>
    <w:unhideWhenUsed/>
    <w:qFormat/>
    <w:rsid w:val="00621B83"/>
    <w:pPr>
      <w:keepNext/>
      <w:keepLines/>
      <w:spacing w:before="200" w:after="0"/>
      <w:ind w:left="2880"/>
      <w:outlineLvl w:val="4"/>
    </w:pPr>
    <w:rPr>
      <w:rFonts w:ascii="Cambria" w:hAnsi="Cambria"/>
      <w:color w:val="243F60"/>
    </w:rPr>
  </w:style>
  <w:style w:type="paragraph" w:styleId="Heading6">
    <w:name w:val="heading 6"/>
    <w:basedOn w:val="Normal"/>
    <w:next w:val="Normal"/>
    <w:link w:val="Heading6Char"/>
    <w:uiPriority w:val="9"/>
    <w:unhideWhenUsed/>
    <w:qFormat/>
    <w:rsid w:val="00621B83"/>
    <w:pPr>
      <w:keepNext/>
      <w:keepLines/>
      <w:spacing w:before="200" w:after="0"/>
      <w:ind w:left="3600"/>
      <w:outlineLvl w:val="5"/>
    </w:pPr>
    <w:rPr>
      <w:rFonts w:ascii="Cambria" w:hAnsi="Cambria"/>
      <w:i/>
      <w:iCs/>
      <w:color w:val="243F60"/>
    </w:rPr>
  </w:style>
  <w:style w:type="paragraph" w:styleId="Heading7">
    <w:name w:val="heading 7"/>
    <w:basedOn w:val="Normal"/>
    <w:next w:val="Normal"/>
    <w:link w:val="Heading7Char"/>
    <w:uiPriority w:val="9"/>
    <w:unhideWhenUsed/>
    <w:qFormat/>
    <w:rsid w:val="00621B83"/>
    <w:pPr>
      <w:keepNext/>
      <w:keepLines/>
      <w:spacing w:before="200" w:after="0"/>
      <w:ind w:left="4320"/>
      <w:outlineLvl w:val="6"/>
    </w:pPr>
    <w:rPr>
      <w:rFonts w:ascii="Cambria" w:hAnsi="Cambria"/>
      <w:i/>
      <w:iCs/>
      <w:color w:val="404040"/>
    </w:rPr>
  </w:style>
  <w:style w:type="paragraph" w:styleId="Heading8">
    <w:name w:val="heading 8"/>
    <w:basedOn w:val="Normal"/>
    <w:next w:val="Normal"/>
    <w:link w:val="Heading8Char"/>
    <w:uiPriority w:val="9"/>
    <w:unhideWhenUsed/>
    <w:qFormat/>
    <w:rsid w:val="00621B83"/>
    <w:pPr>
      <w:keepNext/>
      <w:keepLines/>
      <w:spacing w:before="200" w:after="0"/>
      <w:ind w:left="5040"/>
      <w:outlineLvl w:val="7"/>
    </w:pPr>
    <w:rPr>
      <w:rFonts w:ascii="Cambria" w:hAnsi="Cambria"/>
      <w:color w:val="404040"/>
    </w:rPr>
  </w:style>
  <w:style w:type="paragraph" w:styleId="Heading9">
    <w:name w:val="heading 9"/>
    <w:basedOn w:val="Normal"/>
    <w:next w:val="Normal"/>
    <w:link w:val="Heading9Char"/>
    <w:uiPriority w:val="9"/>
    <w:unhideWhenUsed/>
    <w:qFormat/>
    <w:rsid w:val="00621B83"/>
    <w:pPr>
      <w:keepNext/>
      <w:keepLines/>
      <w:spacing w:before="200" w:after="0"/>
      <w:ind w:left="576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3F45"/>
    <w:rPr>
      <w:rFonts w:ascii="Verdana" w:hAnsi="Verdana"/>
      <w:b/>
      <w:bCs/>
      <w:caps/>
      <w:color w:val="C45911"/>
      <w:szCs w:val="28"/>
      <w:lang w:val="cs-CZ" w:eastAsia="ar-SA"/>
    </w:rPr>
  </w:style>
  <w:style w:type="character" w:customStyle="1" w:styleId="Heading2Char">
    <w:name w:val="Heading 2 Char"/>
    <w:link w:val="Heading2"/>
    <w:uiPriority w:val="9"/>
    <w:rsid w:val="00603F45"/>
    <w:rPr>
      <w:rFonts w:ascii="Verdana" w:hAnsi="Verdana"/>
      <w:b/>
      <w:caps/>
      <w:color w:val="C45911"/>
      <w:lang w:eastAsia="ar-SA"/>
    </w:rPr>
  </w:style>
  <w:style w:type="character" w:customStyle="1" w:styleId="Heading3Char">
    <w:name w:val="Heading 3 Char"/>
    <w:link w:val="Heading3"/>
    <w:uiPriority w:val="9"/>
    <w:rsid w:val="00603F45"/>
    <w:rPr>
      <w:rFonts w:ascii="Verdana" w:hAnsi="Verdana"/>
      <w:b/>
      <w:bCs/>
      <w:color w:val="C45911"/>
      <w:szCs w:val="24"/>
      <w:lang w:val="cs-CZ" w:eastAsia="ar-SA"/>
    </w:rPr>
  </w:style>
  <w:style w:type="character" w:customStyle="1" w:styleId="Heading4Char">
    <w:name w:val="Heading 4 Char"/>
    <w:link w:val="Heading4"/>
    <w:uiPriority w:val="9"/>
    <w:rsid w:val="00603F45"/>
    <w:rPr>
      <w:rFonts w:ascii="Verdana" w:hAnsi="Verdana"/>
      <w:b/>
      <w:bCs/>
      <w:iCs/>
      <w:color w:val="365F91"/>
      <w:szCs w:val="24"/>
      <w:lang w:val="cs-CZ" w:eastAsia="ar-SA"/>
    </w:rPr>
  </w:style>
  <w:style w:type="paragraph" w:styleId="Header">
    <w:name w:val="header"/>
    <w:basedOn w:val="Normal"/>
    <w:link w:val="HeaderChar"/>
    <w:uiPriority w:val="99"/>
    <w:unhideWhenUsed/>
    <w:rsid w:val="006665F0"/>
    <w:pPr>
      <w:tabs>
        <w:tab w:val="center" w:pos="4536"/>
        <w:tab w:val="right" w:pos="9072"/>
      </w:tabs>
      <w:spacing w:after="0" w:line="240" w:lineRule="auto"/>
    </w:pPr>
    <w:rPr>
      <w:sz w:val="16"/>
    </w:rPr>
  </w:style>
  <w:style w:type="character" w:customStyle="1" w:styleId="HeaderChar">
    <w:name w:val="Header Char"/>
    <w:link w:val="Header"/>
    <w:uiPriority w:val="99"/>
    <w:rsid w:val="006665F0"/>
    <w:rPr>
      <w:rFonts w:ascii="Verdana" w:hAnsi="Verdana" w:cs="Times New Roman"/>
      <w:sz w:val="16"/>
      <w:lang w:eastAsia="bg-BG"/>
    </w:rPr>
  </w:style>
  <w:style w:type="paragraph" w:styleId="Footer">
    <w:name w:val="footer"/>
    <w:basedOn w:val="Normal"/>
    <w:link w:val="FooterChar"/>
    <w:uiPriority w:val="99"/>
    <w:unhideWhenUsed/>
    <w:rsid w:val="006665F0"/>
    <w:pPr>
      <w:tabs>
        <w:tab w:val="center" w:pos="4536"/>
        <w:tab w:val="right" w:pos="9072"/>
      </w:tabs>
      <w:spacing w:after="0" w:line="240" w:lineRule="auto"/>
    </w:pPr>
    <w:rPr>
      <w:sz w:val="16"/>
    </w:rPr>
  </w:style>
  <w:style w:type="character" w:customStyle="1" w:styleId="FooterChar">
    <w:name w:val="Footer Char"/>
    <w:link w:val="Footer"/>
    <w:uiPriority w:val="99"/>
    <w:rsid w:val="006665F0"/>
    <w:rPr>
      <w:rFonts w:ascii="Verdana" w:hAnsi="Verdana" w:cs="Times New Roman"/>
      <w:sz w:val="16"/>
      <w:lang w:eastAsia="bg-BG"/>
    </w:rPr>
  </w:style>
  <w:style w:type="paragraph" w:styleId="BalloonText">
    <w:name w:val="Balloon Text"/>
    <w:basedOn w:val="Normal"/>
    <w:link w:val="BalloonTextChar"/>
    <w:uiPriority w:val="99"/>
    <w:semiHidden/>
    <w:unhideWhenUsed/>
    <w:rsid w:val="006665F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665F0"/>
    <w:rPr>
      <w:rFonts w:ascii="Tahoma" w:hAnsi="Tahoma" w:cs="Tahoma"/>
      <w:sz w:val="16"/>
      <w:szCs w:val="16"/>
      <w:lang w:eastAsia="bg-BG"/>
    </w:rPr>
  </w:style>
  <w:style w:type="character" w:customStyle="1" w:styleId="Heading5Char">
    <w:name w:val="Heading 5 Char"/>
    <w:link w:val="Heading5"/>
    <w:uiPriority w:val="9"/>
    <w:rsid w:val="00603F45"/>
    <w:rPr>
      <w:rFonts w:ascii="Cambria" w:hAnsi="Cambria"/>
      <w:color w:val="243F60"/>
      <w:sz w:val="18"/>
    </w:rPr>
  </w:style>
  <w:style w:type="character" w:customStyle="1" w:styleId="Heading6Char">
    <w:name w:val="Heading 6 Char"/>
    <w:link w:val="Heading6"/>
    <w:uiPriority w:val="9"/>
    <w:rsid w:val="00603F45"/>
    <w:rPr>
      <w:rFonts w:ascii="Cambria" w:hAnsi="Cambria"/>
      <w:i/>
      <w:iCs/>
      <w:color w:val="243F60"/>
      <w:sz w:val="18"/>
    </w:rPr>
  </w:style>
  <w:style w:type="character" w:customStyle="1" w:styleId="Heading7Char">
    <w:name w:val="Heading 7 Char"/>
    <w:link w:val="Heading7"/>
    <w:uiPriority w:val="9"/>
    <w:rsid w:val="00603F45"/>
    <w:rPr>
      <w:rFonts w:ascii="Cambria" w:hAnsi="Cambria"/>
      <w:i/>
      <w:iCs/>
      <w:color w:val="404040"/>
      <w:sz w:val="18"/>
    </w:rPr>
  </w:style>
  <w:style w:type="character" w:customStyle="1" w:styleId="Heading8Char">
    <w:name w:val="Heading 8 Char"/>
    <w:link w:val="Heading8"/>
    <w:uiPriority w:val="9"/>
    <w:rsid w:val="00603F45"/>
    <w:rPr>
      <w:rFonts w:ascii="Cambria" w:hAnsi="Cambria"/>
      <w:color w:val="404040"/>
    </w:rPr>
  </w:style>
  <w:style w:type="character" w:customStyle="1" w:styleId="Heading9Char">
    <w:name w:val="Heading 9 Char"/>
    <w:link w:val="Heading9"/>
    <w:uiPriority w:val="9"/>
    <w:rsid w:val="00603F45"/>
    <w:rPr>
      <w:rFonts w:ascii="Cambria" w:hAnsi="Cambria"/>
      <w:i/>
      <w:iCs/>
      <w:color w:val="404040"/>
    </w:rPr>
  </w:style>
  <w:style w:type="paragraph" w:customStyle="1" w:styleId="Text1">
    <w:name w:val="Text 1"/>
    <w:basedOn w:val="Normal"/>
    <w:rsid w:val="00D87C0D"/>
    <w:pPr>
      <w:spacing w:after="240" w:line="240" w:lineRule="auto"/>
      <w:ind w:left="482"/>
    </w:pPr>
    <w:rPr>
      <w:rFonts w:ascii="Times New Roman" w:hAnsi="Times New Roman"/>
      <w:snapToGrid w:val="0"/>
      <w:sz w:val="24"/>
      <w:lang w:val="en-GB" w:eastAsia="en-US"/>
    </w:rPr>
  </w:style>
  <w:style w:type="paragraph" w:styleId="ListParagraph">
    <w:name w:val="List Paragraph"/>
    <w:basedOn w:val="Normal"/>
    <w:uiPriority w:val="34"/>
    <w:qFormat/>
    <w:rsid w:val="00BD0960"/>
    <w:pPr>
      <w:ind w:left="720"/>
      <w:contextualSpacing/>
    </w:pPr>
  </w:style>
  <w:style w:type="paragraph" w:styleId="TOCHeading">
    <w:name w:val="TOC Heading"/>
    <w:basedOn w:val="Heading1"/>
    <w:next w:val="Normal"/>
    <w:uiPriority w:val="39"/>
    <w:unhideWhenUsed/>
    <w:qFormat/>
    <w:rsid w:val="00621B83"/>
    <w:pPr>
      <w:outlineLvl w:val="9"/>
    </w:pPr>
    <w:rPr>
      <w:rFonts w:ascii="Cambria" w:hAnsi="Cambria"/>
      <w:sz w:val="28"/>
      <w:lang w:val="en-US" w:eastAsia="ja-JP"/>
    </w:rPr>
  </w:style>
  <w:style w:type="paragraph" w:styleId="TOC1">
    <w:name w:val="toc 1"/>
    <w:basedOn w:val="Normal"/>
    <w:next w:val="Normal"/>
    <w:autoRedefine/>
    <w:uiPriority w:val="39"/>
    <w:unhideWhenUsed/>
    <w:rsid w:val="009A322F"/>
    <w:pPr>
      <w:tabs>
        <w:tab w:val="left" w:pos="660"/>
        <w:tab w:val="right" w:leader="dot" w:pos="9770"/>
      </w:tabs>
      <w:spacing w:after="100"/>
    </w:pPr>
    <w:rPr>
      <w:b/>
      <w:noProof/>
      <w:lang w:eastAsia="ar-SA"/>
    </w:rPr>
  </w:style>
  <w:style w:type="paragraph" w:styleId="TOC2">
    <w:name w:val="toc 2"/>
    <w:basedOn w:val="Normal"/>
    <w:next w:val="Normal"/>
    <w:autoRedefine/>
    <w:uiPriority w:val="39"/>
    <w:unhideWhenUsed/>
    <w:rsid w:val="001D23B5"/>
    <w:pPr>
      <w:tabs>
        <w:tab w:val="left" w:pos="1100"/>
        <w:tab w:val="right" w:leader="dot" w:pos="9770"/>
      </w:tabs>
      <w:spacing w:after="100"/>
      <w:ind w:left="180"/>
    </w:pPr>
    <w:rPr>
      <w:noProof/>
      <w:lang w:eastAsia="ar-SA"/>
    </w:rPr>
  </w:style>
  <w:style w:type="paragraph" w:styleId="TOC3">
    <w:name w:val="toc 3"/>
    <w:basedOn w:val="Normal"/>
    <w:next w:val="Normal"/>
    <w:autoRedefine/>
    <w:uiPriority w:val="39"/>
    <w:unhideWhenUsed/>
    <w:rsid w:val="00FA5C25"/>
    <w:pPr>
      <w:spacing w:after="100"/>
      <w:ind w:left="360"/>
    </w:pPr>
  </w:style>
  <w:style w:type="character" w:styleId="Hyperlink">
    <w:name w:val="Hyperlink"/>
    <w:uiPriority w:val="99"/>
    <w:unhideWhenUsed/>
    <w:rsid w:val="00FA5C25"/>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nhideWhenUsed/>
    <w:rsid w:val="0031056C"/>
    <w:pPr>
      <w:spacing w:after="200" w:line="276" w:lineRule="auto"/>
    </w:pPr>
    <w:rPr>
      <w:lang w:val="en-US"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31056C"/>
    <w:rPr>
      <w:lang w:val="en-US" w:eastAsia="en-US"/>
    </w:rPr>
  </w:style>
  <w:style w:type="character" w:styleId="FootnoteReference">
    <w:name w:val="footnote reference"/>
    <w:aliases w:val="Footnote symbol"/>
    <w:semiHidden/>
    <w:unhideWhenUsed/>
    <w:rsid w:val="0031056C"/>
    <w:rPr>
      <w:vertAlign w:val="superscript"/>
    </w:rPr>
  </w:style>
  <w:style w:type="paragraph" w:customStyle="1" w:styleId="CM1">
    <w:name w:val="CM1"/>
    <w:basedOn w:val="Normal"/>
    <w:next w:val="Normal"/>
    <w:uiPriority w:val="99"/>
    <w:rsid w:val="0031056C"/>
    <w:pPr>
      <w:autoSpaceDE w:val="0"/>
      <w:autoSpaceDN w:val="0"/>
      <w:adjustRightInd w:val="0"/>
      <w:spacing w:after="0" w:line="240" w:lineRule="auto"/>
    </w:pPr>
    <w:rPr>
      <w:rFonts w:ascii="EUAlbertina" w:hAnsi="EUAlbertina"/>
      <w:sz w:val="24"/>
      <w:szCs w:val="24"/>
    </w:rPr>
  </w:style>
  <w:style w:type="character" w:styleId="PageNumber">
    <w:name w:val="page number"/>
    <w:basedOn w:val="DefaultParagraphFont"/>
    <w:rsid w:val="0048578E"/>
  </w:style>
  <w:style w:type="character" w:styleId="CommentReference">
    <w:name w:val="annotation reference"/>
    <w:uiPriority w:val="99"/>
    <w:rsid w:val="007E6704"/>
    <w:rPr>
      <w:sz w:val="16"/>
      <w:szCs w:val="16"/>
    </w:rPr>
  </w:style>
  <w:style w:type="paragraph" w:styleId="CommentText">
    <w:name w:val="annotation text"/>
    <w:basedOn w:val="Normal"/>
    <w:link w:val="CommentTextChar"/>
    <w:uiPriority w:val="99"/>
    <w:rsid w:val="007E6704"/>
  </w:style>
  <w:style w:type="paragraph" w:styleId="CommentSubject">
    <w:name w:val="annotation subject"/>
    <w:basedOn w:val="CommentText"/>
    <w:next w:val="CommentText"/>
    <w:semiHidden/>
    <w:rsid w:val="007E6704"/>
    <w:rPr>
      <w:b/>
      <w:bCs/>
    </w:rPr>
  </w:style>
  <w:style w:type="paragraph" w:customStyle="1" w:styleId="CM3">
    <w:name w:val="CM3"/>
    <w:basedOn w:val="Normal"/>
    <w:next w:val="Normal"/>
    <w:uiPriority w:val="99"/>
    <w:rsid w:val="003B596F"/>
    <w:pPr>
      <w:autoSpaceDE w:val="0"/>
      <w:autoSpaceDN w:val="0"/>
      <w:adjustRightInd w:val="0"/>
      <w:spacing w:after="0" w:line="240" w:lineRule="auto"/>
    </w:pPr>
    <w:rPr>
      <w:rFonts w:ascii="EUAlbertina" w:hAnsi="EUAlbertina"/>
      <w:sz w:val="24"/>
      <w:szCs w:val="24"/>
    </w:rPr>
  </w:style>
  <w:style w:type="paragraph" w:customStyle="1" w:styleId="CM4">
    <w:name w:val="CM4"/>
    <w:basedOn w:val="Normal"/>
    <w:next w:val="Normal"/>
    <w:uiPriority w:val="99"/>
    <w:rsid w:val="003B596F"/>
    <w:pPr>
      <w:autoSpaceDE w:val="0"/>
      <w:autoSpaceDN w:val="0"/>
      <w:adjustRightInd w:val="0"/>
      <w:spacing w:after="0" w:line="240" w:lineRule="auto"/>
    </w:pPr>
    <w:rPr>
      <w:rFonts w:ascii="EUAlbertina" w:hAnsi="EUAlbertina"/>
      <w:sz w:val="24"/>
      <w:szCs w:val="24"/>
    </w:rPr>
  </w:style>
  <w:style w:type="paragraph" w:styleId="BodyText3">
    <w:name w:val="Body Text 3"/>
    <w:basedOn w:val="Normal"/>
    <w:rsid w:val="005E6553"/>
    <w:pPr>
      <w:spacing w:after="0" w:line="240" w:lineRule="auto"/>
    </w:pPr>
    <w:rPr>
      <w:rFonts w:ascii="Tahoma" w:hAnsi="Tahoma" w:cs="Tahoma"/>
      <w:sz w:val="22"/>
      <w:lang w:eastAsia="en-US"/>
    </w:rPr>
  </w:style>
  <w:style w:type="paragraph" w:customStyle="1" w:styleId="Default">
    <w:name w:val="Default"/>
    <w:rsid w:val="00621B83"/>
    <w:pPr>
      <w:autoSpaceDE w:val="0"/>
      <w:autoSpaceDN w:val="0"/>
      <w:adjustRightInd w:val="0"/>
    </w:pPr>
    <w:rPr>
      <w:rFonts w:ascii="Times New Roman" w:hAnsi="Times New Roman"/>
      <w:color w:val="000000"/>
      <w:sz w:val="24"/>
      <w:szCs w:val="24"/>
    </w:rPr>
  </w:style>
  <w:style w:type="paragraph" w:customStyle="1" w:styleId="Guidelines3">
    <w:name w:val="Guidelines 3"/>
    <w:basedOn w:val="Normal"/>
    <w:rsid w:val="005E6553"/>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line="240" w:lineRule="auto"/>
      <w:ind w:left="902" w:hanging="902"/>
    </w:pPr>
    <w:rPr>
      <w:rFonts w:ascii="Arial" w:hAnsi="Arial"/>
      <w:i/>
      <w:snapToGrid w:val="0"/>
      <w:sz w:val="22"/>
      <w:lang w:val="en-GB" w:eastAsia="en-US"/>
    </w:rPr>
  </w:style>
  <w:style w:type="paragraph" w:customStyle="1" w:styleId="Style29">
    <w:name w:val="Style29"/>
    <w:basedOn w:val="Normal"/>
    <w:rsid w:val="005E6553"/>
    <w:pPr>
      <w:widowControl w:val="0"/>
      <w:autoSpaceDE w:val="0"/>
      <w:autoSpaceDN w:val="0"/>
      <w:adjustRightInd w:val="0"/>
      <w:spacing w:after="0" w:line="230" w:lineRule="exact"/>
    </w:pPr>
    <w:rPr>
      <w:rFonts w:ascii="Times New Roman" w:hAnsi="Times New Roman"/>
      <w:sz w:val="24"/>
      <w:szCs w:val="24"/>
    </w:rPr>
  </w:style>
  <w:style w:type="character" w:customStyle="1" w:styleId="FontStyle40">
    <w:name w:val="Font Style40"/>
    <w:rsid w:val="005E6553"/>
    <w:rPr>
      <w:rFonts w:ascii="Times New Roman" w:hAnsi="Times New Roman" w:cs="Times New Roman"/>
      <w:b/>
      <w:bCs/>
      <w:sz w:val="22"/>
      <w:szCs w:val="22"/>
    </w:rPr>
  </w:style>
  <w:style w:type="character" w:customStyle="1" w:styleId="FontStyle41">
    <w:name w:val="Font Style41"/>
    <w:rsid w:val="005E6553"/>
    <w:rPr>
      <w:rFonts w:ascii="Times New Roman" w:hAnsi="Times New Roman" w:cs="Times New Roman"/>
      <w:b/>
      <w:bCs/>
      <w:sz w:val="20"/>
      <w:szCs w:val="20"/>
    </w:rPr>
  </w:style>
  <w:style w:type="character" w:customStyle="1" w:styleId="FontStyle42">
    <w:name w:val="Font Style42"/>
    <w:rsid w:val="005E6553"/>
    <w:rPr>
      <w:rFonts w:ascii="Times New Roman" w:hAnsi="Times New Roman" w:cs="Times New Roman"/>
      <w:sz w:val="18"/>
      <w:szCs w:val="18"/>
    </w:rPr>
  </w:style>
  <w:style w:type="paragraph" w:customStyle="1" w:styleId="Style32">
    <w:name w:val="Style32"/>
    <w:basedOn w:val="Normal"/>
    <w:rsid w:val="005E6553"/>
    <w:pPr>
      <w:widowControl w:val="0"/>
      <w:autoSpaceDE w:val="0"/>
      <w:autoSpaceDN w:val="0"/>
      <w:adjustRightInd w:val="0"/>
      <w:spacing w:after="0" w:line="230" w:lineRule="exact"/>
    </w:pPr>
    <w:rPr>
      <w:rFonts w:ascii="Times New Roman" w:hAnsi="Times New Roman"/>
      <w:sz w:val="24"/>
      <w:szCs w:val="24"/>
    </w:rPr>
  </w:style>
  <w:style w:type="paragraph" w:customStyle="1" w:styleId="Style33">
    <w:name w:val="Style33"/>
    <w:basedOn w:val="Normal"/>
    <w:rsid w:val="005E6553"/>
    <w:pPr>
      <w:widowControl w:val="0"/>
      <w:autoSpaceDE w:val="0"/>
      <w:autoSpaceDN w:val="0"/>
      <w:adjustRightInd w:val="0"/>
      <w:spacing w:after="0" w:line="230" w:lineRule="exact"/>
      <w:ind w:hanging="346"/>
    </w:pPr>
    <w:rPr>
      <w:rFonts w:ascii="Times New Roman" w:hAnsi="Times New Roman"/>
      <w:sz w:val="24"/>
      <w:szCs w:val="24"/>
    </w:rPr>
  </w:style>
  <w:style w:type="paragraph" w:customStyle="1" w:styleId="Style27">
    <w:name w:val="Style27"/>
    <w:basedOn w:val="Normal"/>
    <w:rsid w:val="005E6553"/>
    <w:pPr>
      <w:widowControl w:val="0"/>
      <w:autoSpaceDE w:val="0"/>
      <w:autoSpaceDN w:val="0"/>
      <w:adjustRightInd w:val="0"/>
      <w:spacing w:after="0" w:line="283" w:lineRule="exact"/>
      <w:ind w:firstLine="413"/>
    </w:pPr>
    <w:rPr>
      <w:rFonts w:ascii="Times New Roman" w:hAnsi="Times New Roman"/>
      <w:sz w:val="24"/>
      <w:szCs w:val="24"/>
    </w:rPr>
  </w:style>
  <w:style w:type="table" w:styleId="TableGrid">
    <w:name w:val="Table Grid"/>
    <w:basedOn w:val="TableNormal"/>
    <w:uiPriority w:val="59"/>
    <w:rsid w:val="00DE58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rsid w:val="0012214B"/>
    <w:pPr>
      <w:widowControl w:val="0"/>
      <w:spacing w:before="100" w:after="100" w:line="240" w:lineRule="auto"/>
      <w:ind w:left="360" w:right="360"/>
    </w:pPr>
    <w:rPr>
      <w:rFonts w:ascii="Times New Roman" w:hAnsi="Times New Roman"/>
      <w:snapToGrid w:val="0"/>
      <w:sz w:val="24"/>
      <w:lang w:val="en-US" w:eastAsia="en-US"/>
    </w:rPr>
  </w:style>
  <w:style w:type="paragraph" w:customStyle="1" w:styleId="ListParagraph1">
    <w:name w:val="List Paragraph1"/>
    <w:basedOn w:val="Normal"/>
    <w:uiPriority w:val="34"/>
    <w:qFormat/>
    <w:rsid w:val="0065375A"/>
    <w:pPr>
      <w:spacing w:after="0" w:line="240" w:lineRule="auto"/>
      <w:ind w:left="720"/>
      <w:contextualSpacing/>
    </w:pPr>
    <w:rPr>
      <w:rFonts w:ascii="Times New Roman" w:hAnsi="Times New Roman"/>
      <w:sz w:val="24"/>
      <w:szCs w:val="24"/>
    </w:rPr>
  </w:style>
  <w:style w:type="paragraph" w:customStyle="1" w:styleId="m">
    <w:name w:val="m"/>
    <w:basedOn w:val="Normal"/>
    <w:rsid w:val="00AF6E9A"/>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unhideWhenUsed/>
    <w:rsid w:val="00AF6E9A"/>
    <w:pPr>
      <w:spacing w:before="100" w:beforeAutospacing="1" w:after="100" w:afterAutospacing="1" w:line="240" w:lineRule="auto"/>
    </w:pPr>
    <w:rPr>
      <w:rFonts w:ascii="Times New Roman" w:hAnsi="Times New Roman"/>
      <w:sz w:val="24"/>
      <w:szCs w:val="24"/>
    </w:rPr>
  </w:style>
  <w:style w:type="character" w:customStyle="1" w:styleId="CommentTextChar">
    <w:name w:val="Comment Text Char"/>
    <w:link w:val="CommentText"/>
    <w:uiPriority w:val="99"/>
    <w:rsid w:val="00E52D9D"/>
    <w:rPr>
      <w:rFonts w:ascii="Verdana" w:hAnsi="Verdana"/>
    </w:rPr>
  </w:style>
  <w:style w:type="character" w:customStyle="1" w:styleId="st">
    <w:name w:val="st"/>
    <w:rsid w:val="0096164A"/>
  </w:style>
  <w:style w:type="character" w:customStyle="1" w:styleId="ldef">
    <w:name w:val="ldef"/>
    <w:rsid w:val="007F730A"/>
  </w:style>
  <w:style w:type="paragraph" w:styleId="Revision">
    <w:name w:val="Revision"/>
    <w:hidden/>
    <w:uiPriority w:val="99"/>
    <w:semiHidden/>
    <w:rsid w:val="00621B83"/>
    <w:rPr>
      <w:rFonts w:ascii="Verdana" w:hAnsi="Verdana"/>
      <w:sz w:val="18"/>
      <w:szCs w:val="22"/>
    </w:rPr>
  </w:style>
  <w:style w:type="paragraph" w:customStyle="1" w:styleId="Normal1">
    <w:name w:val="Normal1"/>
    <w:basedOn w:val="Normal"/>
    <w:rsid w:val="00BC1D37"/>
    <w:pPr>
      <w:spacing w:before="100" w:beforeAutospacing="1" w:after="100" w:afterAutospacing="1" w:line="240" w:lineRule="auto"/>
    </w:pPr>
    <w:rPr>
      <w:rFonts w:ascii="Times New Roman" w:hAnsi="Times New Roman"/>
      <w:sz w:val="24"/>
      <w:szCs w:val="24"/>
    </w:rPr>
  </w:style>
  <w:style w:type="character" w:customStyle="1" w:styleId="italic">
    <w:name w:val="italic"/>
    <w:rsid w:val="00BC1D37"/>
  </w:style>
  <w:style w:type="paragraph" w:customStyle="1" w:styleId="Normal10">
    <w:name w:val="Normal1"/>
    <w:basedOn w:val="Normal"/>
    <w:rsid w:val="00F3429F"/>
    <w:pPr>
      <w:spacing w:before="100" w:beforeAutospacing="1" w:after="100" w:afterAutospacing="1" w:line="240" w:lineRule="auto"/>
    </w:pPr>
    <w:rPr>
      <w:rFonts w:ascii="Times New Roman" w:hAnsi="Times New Roman"/>
      <w:sz w:val="24"/>
      <w:szCs w:val="24"/>
    </w:rPr>
  </w:style>
  <w:style w:type="character" w:styleId="FollowedHyperlink">
    <w:name w:val="FollowedHyperlink"/>
    <w:uiPriority w:val="99"/>
    <w:semiHidden/>
    <w:unhideWhenUsed/>
    <w:rsid w:val="007839F1"/>
    <w:rPr>
      <w:color w:val="954F72"/>
      <w:u w:val="single"/>
    </w:rPr>
  </w:style>
  <w:style w:type="paragraph" w:customStyle="1" w:styleId="5">
    <w:name w:val="5"/>
    <w:basedOn w:val="Normal"/>
    <w:uiPriority w:val="99"/>
    <w:rsid w:val="00CE553C"/>
    <w:pPr>
      <w:widowControl w:val="0"/>
      <w:spacing w:line="240" w:lineRule="auto"/>
      <w:ind w:left="426" w:hanging="426"/>
    </w:pPr>
    <w:rPr>
      <w:rFonts w:eastAsia="Courier New" w:cs="Calibri"/>
      <w:color w:val="000000"/>
      <w:sz w:val="24"/>
      <w:szCs w:val="24"/>
      <w:lang w:eastAsia="en-US"/>
    </w:rPr>
  </w:style>
  <w:style w:type="paragraph" w:styleId="Caption">
    <w:name w:val="caption"/>
    <w:basedOn w:val="Normal"/>
    <w:next w:val="Normal"/>
    <w:uiPriority w:val="35"/>
    <w:semiHidden/>
    <w:unhideWhenUsed/>
    <w:qFormat/>
    <w:rsid w:val="00603F45"/>
    <w:pPr>
      <w:spacing w:line="240" w:lineRule="auto"/>
    </w:pPr>
    <w:rPr>
      <w:b/>
      <w:bCs/>
      <w:smallCaps/>
      <w:color w:val="595959"/>
      <w:spacing w:val="6"/>
    </w:rPr>
  </w:style>
  <w:style w:type="paragraph" w:styleId="Title">
    <w:name w:val="Title"/>
    <w:basedOn w:val="Normal"/>
    <w:next w:val="Normal"/>
    <w:link w:val="TitleChar"/>
    <w:uiPriority w:val="10"/>
    <w:qFormat/>
    <w:rsid w:val="00603F45"/>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603F45"/>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603F45"/>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603F45"/>
    <w:rPr>
      <w:rFonts w:ascii="Calibri Light" w:eastAsia="SimSun" w:hAnsi="Calibri Light" w:cs="Times New Roman"/>
      <w:sz w:val="24"/>
      <w:szCs w:val="24"/>
    </w:rPr>
  </w:style>
  <w:style w:type="character" w:styleId="Strong">
    <w:name w:val="Strong"/>
    <w:uiPriority w:val="22"/>
    <w:qFormat/>
    <w:rsid w:val="00603F45"/>
    <w:rPr>
      <w:b/>
      <w:bCs/>
    </w:rPr>
  </w:style>
  <w:style w:type="character" w:styleId="Emphasis">
    <w:name w:val="Emphasis"/>
    <w:uiPriority w:val="20"/>
    <w:qFormat/>
    <w:rsid w:val="00603F45"/>
    <w:rPr>
      <w:i/>
      <w:iCs/>
    </w:rPr>
  </w:style>
  <w:style w:type="paragraph" w:styleId="NoSpacing">
    <w:name w:val="No Spacing"/>
    <w:uiPriority w:val="1"/>
    <w:qFormat/>
    <w:rsid w:val="00603F45"/>
  </w:style>
  <w:style w:type="paragraph" w:styleId="Quote">
    <w:name w:val="Quote"/>
    <w:basedOn w:val="Normal"/>
    <w:next w:val="Normal"/>
    <w:link w:val="QuoteChar"/>
    <w:uiPriority w:val="29"/>
    <w:qFormat/>
    <w:rsid w:val="00603F45"/>
    <w:pPr>
      <w:spacing w:before="160"/>
      <w:ind w:left="720" w:right="720"/>
    </w:pPr>
    <w:rPr>
      <w:i/>
      <w:iCs/>
      <w:color w:val="404040"/>
    </w:rPr>
  </w:style>
  <w:style w:type="character" w:customStyle="1" w:styleId="QuoteChar">
    <w:name w:val="Quote Char"/>
    <w:link w:val="Quote"/>
    <w:uiPriority w:val="29"/>
    <w:rsid w:val="00603F45"/>
    <w:rPr>
      <w:i/>
      <w:iCs/>
      <w:color w:val="404040"/>
    </w:rPr>
  </w:style>
  <w:style w:type="paragraph" w:styleId="IntenseQuote">
    <w:name w:val="Intense Quote"/>
    <w:basedOn w:val="Normal"/>
    <w:next w:val="Normal"/>
    <w:link w:val="IntenseQuoteChar"/>
    <w:uiPriority w:val="30"/>
    <w:qFormat/>
    <w:rsid w:val="00603F45"/>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603F45"/>
    <w:rPr>
      <w:rFonts w:ascii="Calibri Light" w:eastAsia="SimSun" w:hAnsi="Calibri Light" w:cs="Times New Roman"/>
      <w:color w:val="5B9BD5"/>
      <w:sz w:val="28"/>
      <w:szCs w:val="28"/>
    </w:rPr>
  </w:style>
  <w:style w:type="character" w:styleId="SubtleEmphasis">
    <w:name w:val="Subtle Emphasis"/>
    <w:uiPriority w:val="19"/>
    <w:qFormat/>
    <w:rsid w:val="00603F45"/>
    <w:rPr>
      <w:i/>
      <w:iCs/>
      <w:color w:val="404040"/>
    </w:rPr>
  </w:style>
  <w:style w:type="character" w:styleId="IntenseEmphasis">
    <w:name w:val="Intense Emphasis"/>
    <w:uiPriority w:val="21"/>
    <w:qFormat/>
    <w:rsid w:val="00603F45"/>
    <w:rPr>
      <w:b/>
      <w:bCs/>
      <w:i/>
      <w:iCs/>
    </w:rPr>
  </w:style>
  <w:style w:type="character" w:styleId="SubtleReference">
    <w:name w:val="Subtle Reference"/>
    <w:uiPriority w:val="31"/>
    <w:qFormat/>
    <w:rsid w:val="00603F45"/>
    <w:rPr>
      <w:smallCaps/>
      <w:color w:val="404040"/>
      <w:u w:val="single" w:color="7F7F7F"/>
    </w:rPr>
  </w:style>
  <w:style w:type="character" w:styleId="IntenseReference">
    <w:name w:val="Intense Reference"/>
    <w:uiPriority w:val="32"/>
    <w:qFormat/>
    <w:rsid w:val="00603F45"/>
    <w:rPr>
      <w:b/>
      <w:bCs/>
      <w:smallCaps/>
      <w:spacing w:val="5"/>
      <w:u w:val="single"/>
    </w:rPr>
  </w:style>
  <w:style w:type="character" w:styleId="BookTitle">
    <w:name w:val="Book Title"/>
    <w:uiPriority w:val="33"/>
    <w:qFormat/>
    <w:rsid w:val="00603F45"/>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810285">
      <w:bodyDiv w:val="1"/>
      <w:marLeft w:val="0"/>
      <w:marRight w:val="0"/>
      <w:marTop w:val="0"/>
      <w:marBottom w:val="0"/>
      <w:divBdr>
        <w:top w:val="none" w:sz="0" w:space="0" w:color="auto"/>
        <w:left w:val="none" w:sz="0" w:space="0" w:color="auto"/>
        <w:bottom w:val="none" w:sz="0" w:space="0" w:color="auto"/>
        <w:right w:val="none" w:sz="0" w:space="0" w:color="auto"/>
      </w:divBdr>
    </w:div>
    <w:div w:id="360520074">
      <w:bodyDiv w:val="1"/>
      <w:marLeft w:val="0"/>
      <w:marRight w:val="0"/>
      <w:marTop w:val="0"/>
      <w:marBottom w:val="0"/>
      <w:divBdr>
        <w:top w:val="none" w:sz="0" w:space="0" w:color="auto"/>
        <w:left w:val="none" w:sz="0" w:space="0" w:color="auto"/>
        <w:bottom w:val="none" w:sz="0" w:space="0" w:color="auto"/>
        <w:right w:val="none" w:sz="0" w:space="0" w:color="auto"/>
      </w:divBdr>
    </w:div>
    <w:div w:id="748191314">
      <w:bodyDiv w:val="1"/>
      <w:marLeft w:val="0"/>
      <w:marRight w:val="0"/>
      <w:marTop w:val="0"/>
      <w:marBottom w:val="0"/>
      <w:divBdr>
        <w:top w:val="none" w:sz="0" w:space="0" w:color="auto"/>
        <w:left w:val="none" w:sz="0" w:space="0" w:color="auto"/>
        <w:bottom w:val="none" w:sz="0" w:space="0" w:color="auto"/>
        <w:right w:val="none" w:sz="0" w:space="0" w:color="auto"/>
      </w:divBdr>
    </w:div>
    <w:div w:id="853417785">
      <w:bodyDiv w:val="1"/>
      <w:marLeft w:val="0"/>
      <w:marRight w:val="0"/>
      <w:marTop w:val="0"/>
      <w:marBottom w:val="0"/>
      <w:divBdr>
        <w:top w:val="none" w:sz="0" w:space="0" w:color="auto"/>
        <w:left w:val="none" w:sz="0" w:space="0" w:color="auto"/>
        <w:bottom w:val="none" w:sz="0" w:space="0" w:color="auto"/>
        <w:right w:val="none" w:sz="0" w:space="0" w:color="auto"/>
      </w:divBdr>
    </w:div>
    <w:div w:id="941692482">
      <w:bodyDiv w:val="1"/>
      <w:marLeft w:val="0"/>
      <w:marRight w:val="0"/>
      <w:marTop w:val="0"/>
      <w:marBottom w:val="0"/>
      <w:divBdr>
        <w:top w:val="none" w:sz="0" w:space="0" w:color="auto"/>
        <w:left w:val="none" w:sz="0" w:space="0" w:color="auto"/>
        <w:bottom w:val="none" w:sz="0" w:space="0" w:color="auto"/>
        <w:right w:val="none" w:sz="0" w:space="0" w:color="auto"/>
      </w:divBdr>
    </w:div>
    <w:div w:id="1071537001">
      <w:bodyDiv w:val="1"/>
      <w:marLeft w:val="0"/>
      <w:marRight w:val="0"/>
      <w:marTop w:val="0"/>
      <w:marBottom w:val="0"/>
      <w:divBdr>
        <w:top w:val="none" w:sz="0" w:space="0" w:color="auto"/>
        <w:left w:val="none" w:sz="0" w:space="0" w:color="auto"/>
        <w:bottom w:val="none" w:sz="0" w:space="0" w:color="auto"/>
        <w:right w:val="none" w:sz="0" w:space="0" w:color="auto"/>
      </w:divBdr>
    </w:div>
    <w:div w:id="1153175909">
      <w:bodyDiv w:val="1"/>
      <w:marLeft w:val="0"/>
      <w:marRight w:val="0"/>
      <w:marTop w:val="0"/>
      <w:marBottom w:val="0"/>
      <w:divBdr>
        <w:top w:val="none" w:sz="0" w:space="0" w:color="auto"/>
        <w:left w:val="none" w:sz="0" w:space="0" w:color="auto"/>
        <w:bottom w:val="none" w:sz="0" w:space="0" w:color="auto"/>
        <w:right w:val="none" w:sz="0" w:space="0" w:color="auto"/>
      </w:divBdr>
    </w:div>
    <w:div w:id="1190871770">
      <w:bodyDiv w:val="1"/>
      <w:marLeft w:val="0"/>
      <w:marRight w:val="0"/>
      <w:marTop w:val="0"/>
      <w:marBottom w:val="0"/>
      <w:divBdr>
        <w:top w:val="none" w:sz="0" w:space="0" w:color="auto"/>
        <w:left w:val="none" w:sz="0" w:space="0" w:color="auto"/>
        <w:bottom w:val="none" w:sz="0" w:space="0" w:color="auto"/>
        <w:right w:val="none" w:sz="0" w:space="0" w:color="auto"/>
      </w:divBdr>
    </w:div>
    <w:div w:id="1569224960">
      <w:bodyDiv w:val="1"/>
      <w:marLeft w:val="0"/>
      <w:marRight w:val="0"/>
      <w:marTop w:val="0"/>
      <w:marBottom w:val="0"/>
      <w:divBdr>
        <w:top w:val="none" w:sz="0" w:space="0" w:color="auto"/>
        <w:left w:val="none" w:sz="0" w:space="0" w:color="auto"/>
        <w:bottom w:val="none" w:sz="0" w:space="0" w:color="auto"/>
        <w:right w:val="none" w:sz="0" w:space="0" w:color="auto"/>
      </w:divBdr>
      <w:divsChild>
        <w:div w:id="107816255">
          <w:marLeft w:val="0"/>
          <w:marRight w:val="0"/>
          <w:marTop w:val="0"/>
          <w:marBottom w:val="0"/>
          <w:divBdr>
            <w:top w:val="none" w:sz="0" w:space="0" w:color="auto"/>
            <w:left w:val="none" w:sz="0" w:space="0" w:color="auto"/>
            <w:bottom w:val="none" w:sz="0" w:space="0" w:color="auto"/>
            <w:right w:val="none" w:sz="0" w:space="0" w:color="auto"/>
          </w:divBdr>
        </w:div>
        <w:div w:id="1992171404">
          <w:marLeft w:val="0"/>
          <w:marRight w:val="0"/>
          <w:marTop w:val="0"/>
          <w:marBottom w:val="0"/>
          <w:divBdr>
            <w:top w:val="none" w:sz="0" w:space="0" w:color="auto"/>
            <w:left w:val="none" w:sz="0" w:space="0" w:color="auto"/>
            <w:bottom w:val="none" w:sz="0" w:space="0" w:color="auto"/>
            <w:right w:val="none" w:sz="0" w:space="0" w:color="auto"/>
          </w:divBdr>
        </w:div>
      </w:divsChild>
    </w:div>
    <w:div w:id="1718550825">
      <w:bodyDiv w:val="1"/>
      <w:marLeft w:val="0"/>
      <w:marRight w:val="0"/>
      <w:marTop w:val="0"/>
      <w:marBottom w:val="0"/>
      <w:divBdr>
        <w:top w:val="none" w:sz="0" w:space="0" w:color="auto"/>
        <w:left w:val="none" w:sz="0" w:space="0" w:color="auto"/>
        <w:bottom w:val="none" w:sz="0" w:space="0" w:color="auto"/>
        <w:right w:val="none" w:sz="0" w:space="0" w:color="auto"/>
      </w:divBdr>
    </w:div>
    <w:div w:id="1809122945">
      <w:bodyDiv w:val="1"/>
      <w:marLeft w:val="60"/>
      <w:marRight w:val="60"/>
      <w:marTop w:val="60"/>
      <w:marBottom w:val="15"/>
      <w:divBdr>
        <w:top w:val="none" w:sz="0" w:space="0" w:color="auto"/>
        <w:left w:val="none" w:sz="0" w:space="0" w:color="auto"/>
        <w:bottom w:val="none" w:sz="0" w:space="0" w:color="auto"/>
        <w:right w:val="none" w:sz="0" w:space="0" w:color="auto"/>
      </w:divBdr>
      <w:divsChild>
        <w:div w:id="194464456">
          <w:marLeft w:val="0"/>
          <w:marRight w:val="0"/>
          <w:marTop w:val="0"/>
          <w:marBottom w:val="0"/>
          <w:divBdr>
            <w:top w:val="none" w:sz="0" w:space="0" w:color="auto"/>
            <w:left w:val="none" w:sz="0" w:space="0" w:color="auto"/>
            <w:bottom w:val="none" w:sz="0" w:space="0" w:color="auto"/>
            <w:right w:val="none" w:sz="0" w:space="0" w:color="auto"/>
          </w:divBdr>
        </w:div>
      </w:divsChild>
    </w:div>
    <w:div w:id="1826585702">
      <w:bodyDiv w:val="1"/>
      <w:marLeft w:val="0"/>
      <w:marRight w:val="0"/>
      <w:marTop w:val="0"/>
      <w:marBottom w:val="0"/>
      <w:divBdr>
        <w:top w:val="none" w:sz="0" w:space="0" w:color="auto"/>
        <w:left w:val="none" w:sz="0" w:space="0" w:color="auto"/>
        <w:bottom w:val="none" w:sz="0" w:space="0" w:color="auto"/>
        <w:right w:val="none" w:sz="0" w:space="0" w:color="auto"/>
      </w:divBdr>
    </w:div>
    <w:div w:id="1921980409">
      <w:bodyDiv w:val="1"/>
      <w:marLeft w:val="0"/>
      <w:marRight w:val="0"/>
      <w:marTop w:val="0"/>
      <w:marBottom w:val="0"/>
      <w:divBdr>
        <w:top w:val="none" w:sz="0" w:space="0" w:color="auto"/>
        <w:left w:val="none" w:sz="0" w:space="0" w:color="auto"/>
        <w:bottom w:val="none" w:sz="0" w:space="0" w:color="auto"/>
        <w:right w:val="none" w:sz="0" w:space="0" w:color="auto"/>
      </w:divBdr>
    </w:div>
    <w:div w:id="1955283199">
      <w:bodyDiv w:val="1"/>
      <w:marLeft w:val="0"/>
      <w:marRight w:val="0"/>
      <w:marTop w:val="0"/>
      <w:marBottom w:val="0"/>
      <w:divBdr>
        <w:top w:val="none" w:sz="0" w:space="0" w:color="auto"/>
        <w:left w:val="none" w:sz="0" w:space="0" w:color="auto"/>
        <w:bottom w:val="none" w:sz="0" w:space="0" w:color="auto"/>
        <w:right w:val="none" w:sz="0" w:space="0" w:color="auto"/>
      </w:divBdr>
    </w:div>
    <w:div w:id="2035576696">
      <w:bodyDiv w:val="1"/>
      <w:marLeft w:val="60"/>
      <w:marRight w:val="60"/>
      <w:marTop w:val="60"/>
      <w:marBottom w:val="15"/>
      <w:divBdr>
        <w:top w:val="none" w:sz="0" w:space="0" w:color="auto"/>
        <w:left w:val="none" w:sz="0" w:space="0" w:color="auto"/>
        <w:bottom w:val="none" w:sz="0" w:space="0" w:color="auto"/>
        <w:right w:val="none" w:sz="0" w:space="0" w:color="auto"/>
      </w:divBdr>
      <w:divsChild>
        <w:div w:id="1114908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eagrants.bg" TargetMode="External"/><Relationship Id="rId18" Type="http://schemas.openxmlformats.org/officeDocument/2006/relationships/hyperlink" Target="https://web.apis.bg/p.php?i=491209" TargetMode="External"/><Relationship Id="rId26" Type="http://schemas.openxmlformats.org/officeDocument/2006/relationships/hyperlink" Target="https://web.apis.bg/p.php?i=2797996" TargetMode="External"/><Relationship Id="rId39" Type="http://schemas.openxmlformats.org/officeDocument/2006/relationships/hyperlink" Target="https://web.apis.bg/p.php?i=490430" TargetMode="External"/><Relationship Id="rId3" Type="http://schemas.openxmlformats.org/officeDocument/2006/relationships/numbering" Target="numbering.xml"/><Relationship Id="rId21" Type="http://schemas.openxmlformats.org/officeDocument/2006/relationships/hyperlink" Target="https://web.apis.bg/p.php?i=491209" TargetMode="External"/><Relationship Id="rId34" Type="http://schemas.openxmlformats.org/officeDocument/2006/relationships/hyperlink" Target="https://web.apis.bg/p.php?i=490430" TargetMode="External"/><Relationship Id="rId42" Type="http://schemas.openxmlformats.org/officeDocument/2006/relationships/hyperlink" Target="https://web.apis.bg/p.php?i=490430" TargetMode="External"/><Relationship Id="rId47" Type="http://schemas.openxmlformats.org/officeDocument/2006/relationships/hyperlink" Target="http://www.eeagrants.bg" TargetMode="Externa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eeagrants.bg" TargetMode="External"/><Relationship Id="rId17" Type="http://schemas.openxmlformats.org/officeDocument/2006/relationships/hyperlink" Target="https://web.apis.bg/p.php?i=491209" TargetMode="External"/><Relationship Id="rId25" Type="http://schemas.openxmlformats.org/officeDocument/2006/relationships/hyperlink" Target="https://web.apis.bg/p.php?i=491209" TargetMode="External"/><Relationship Id="rId33" Type="http://schemas.openxmlformats.org/officeDocument/2006/relationships/hyperlink" Target="https://web.apis.bg/p.php?i=490430" TargetMode="External"/><Relationship Id="rId38" Type="http://schemas.openxmlformats.org/officeDocument/2006/relationships/hyperlink" Target="https://web.apis.bg/p.php?i=490430" TargetMode="External"/><Relationship Id="rId46" Type="http://schemas.openxmlformats.org/officeDocument/2006/relationships/hyperlink" Target="https://eumis2020.government.bg" TargetMode="External"/><Relationship Id="rId2" Type="http://schemas.openxmlformats.org/officeDocument/2006/relationships/customXml" Target="../customXml/item2.xml"/><Relationship Id="rId16" Type="http://schemas.openxmlformats.org/officeDocument/2006/relationships/hyperlink" Target="https://web.apis.bg/p.php?i=491209" TargetMode="External"/><Relationship Id="rId20" Type="http://schemas.openxmlformats.org/officeDocument/2006/relationships/hyperlink" Target="https://web.apis.bg/p.php?i=491209" TargetMode="External"/><Relationship Id="rId29" Type="http://schemas.openxmlformats.org/officeDocument/2006/relationships/hyperlink" Target="https://web.apis.bg/p.php?i=490430" TargetMode="External"/><Relationship Id="rId41" Type="http://schemas.openxmlformats.org/officeDocument/2006/relationships/hyperlink" Target="https://web.apis.bg/p.php?i=4904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eagrants@me.government.bg" TargetMode="External"/><Relationship Id="rId24" Type="http://schemas.openxmlformats.org/officeDocument/2006/relationships/hyperlink" Target="https://web.apis.bg/p.php?i=491209" TargetMode="External"/><Relationship Id="rId32" Type="http://schemas.openxmlformats.org/officeDocument/2006/relationships/hyperlink" Target="https://web.apis.bg/p.php?i=490430" TargetMode="External"/><Relationship Id="rId37" Type="http://schemas.openxmlformats.org/officeDocument/2006/relationships/hyperlink" Target="https://web.apis.bg/p.php?i=490430" TargetMode="External"/><Relationship Id="rId40" Type="http://schemas.openxmlformats.org/officeDocument/2006/relationships/hyperlink" Target="https://web.apis.bg/p.php?i=490430" TargetMode="External"/><Relationship Id="rId45" Type="http://schemas.openxmlformats.org/officeDocument/2006/relationships/hyperlink" Target="https://eumis2020.government.bg"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eb.apis.bg/p.php?i=491209" TargetMode="External"/><Relationship Id="rId23" Type="http://schemas.openxmlformats.org/officeDocument/2006/relationships/hyperlink" Target="https://web.apis.bg/p.php?i=491209" TargetMode="External"/><Relationship Id="rId28" Type="http://schemas.openxmlformats.org/officeDocument/2006/relationships/hyperlink" Target="https://web.apis.bg/p.php?i=490430" TargetMode="External"/><Relationship Id="rId36" Type="http://schemas.openxmlformats.org/officeDocument/2006/relationships/hyperlink" Target="https://web.apis.bg/p.php?i=490430" TargetMode="External"/><Relationship Id="rId49" Type="http://schemas.openxmlformats.org/officeDocument/2006/relationships/footer" Target="footer1.xml"/><Relationship Id="rId10" Type="http://schemas.openxmlformats.org/officeDocument/2006/relationships/hyperlink" Target="http://www.eeagrants.bg" TargetMode="External"/><Relationship Id="rId19" Type="http://schemas.openxmlformats.org/officeDocument/2006/relationships/hyperlink" Target="https://web.apis.bg/p.php?i=491209" TargetMode="External"/><Relationship Id="rId31" Type="http://schemas.openxmlformats.org/officeDocument/2006/relationships/hyperlink" Target="https://web.apis.bg/p.php?i=490430" TargetMode="External"/><Relationship Id="rId44" Type="http://schemas.openxmlformats.org/officeDocument/2006/relationships/hyperlink" Target="https://www.minfin.bg/upload/19193/DNF&#8470;3_23.12.2016.pdf"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eeagrants.org/" TargetMode="External"/><Relationship Id="rId14" Type="http://schemas.openxmlformats.org/officeDocument/2006/relationships/hyperlink" Target="https://web.apis.bg/p.php?i=204216" TargetMode="External"/><Relationship Id="rId22" Type="http://schemas.openxmlformats.org/officeDocument/2006/relationships/hyperlink" Target="https://web.apis.bg/p.php?i=491209" TargetMode="External"/><Relationship Id="rId27" Type="http://schemas.openxmlformats.org/officeDocument/2006/relationships/hyperlink" Target="https://web.apis.bg/p.php?i=490430" TargetMode="External"/><Relationship Id="rId30" Type="http://schemas.openxmlformats.org/officeDocument/2006/relationships/hyperlink" Target="https://web.apis.bg/p.php?i=490430" TargetMode="External"/><Relationship Id="rId35" Type="http://schemas.openxmlformats.org/officeDocument/2006/relationships/hyperlink" Target="https://web.apis.bg/p.php?i=490430" TargetMode="External"/><Relationship Id="rId43" Type="http://schemas.openxmlformats.org/officeDocument/2006/relationships/hyperlink" Target="https://web.apis.bg/p.php?i=490430"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bg/s/Default/Manua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6F79C-6CBB-4E6B-9094-6D649FBF57D0}">
  <ds:schemaRefs>
    <ds:schemaRef ds:uri="http://schemas.openxmlformats.org/officeDocument/2006/bibliography"/>
  </ds:schemaRefs>
</ds:datastoreItem>
</file>

<file path=customXml/itemProps2.xml><?xml version="1.0" encoding="utf-8"?>
<ds:datastoreItem xmlns:ds="http://schemas.openxmlformats.org/officeDocument/2006/customXml" ds:itemID="{8B003F17-29FB-49BC-A4E9-651170EB2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19419</Words>
  <Characters>110690</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European Economic Area (EEA) Financial Mechanism 2009-2014</vt:lpstr>
    </vt:vector>
  </TitlesOfParts>
  <Company/>
  <LinksUpToDate>false</LinksUpToDate>
  <CharactersWithSpaces>129850</CharactersWithSpaces>
  <SharedDoc>false</SharedDoc>
  <HLinks>
    <vt:vector size="534" baseType="variant">
      <vt:variant>
        <vt:i4>851982</vt:i4>
      </vt:variant>
      <vt:variant>
        <vt:i4>414</vt:i4>
      </vt:variant>
      <vt:variant>
        <vt:i4>0</vt:i4>
      </vt:variant>
      <vt:variant>
        <vt:i4>5</vt:i4>
      </vt:variant>
      <vt:variant>
        <vt:lpwstr>http://www.eeagrants.bg/</vt:lpwstr>
      </vt:variant>
      <vt:variant>
        <vt:lpwstr/>
      </vt:variant>
      <vt:variant>
        <vt:i4>1769490</vt:i4>
      </vt:variant>
      <vt:variant>
        <vt:i4>411</vt:i4>
      </vt:variant>
      <vt:variant>
        <vt:i4>0</vt:i4>
      </vt:variant>
      <vt:variant>
        <vt:i4>5</vt:i4>
      </vt:variant>
      <vt:variant>
        <vt:lpwstr>https://eumis2020.government.bg/</vt:lpwstr>
      </vt:variant>
      <vt:variant>
        <vt:lpwstr/>
      </vt:variant>
      <vt:variant>
        <vt:i4>1769490</vt:i4>
      </vt:variant>
      <vt:variant>
        <vt:i4>408</vt:i4>
      </vt:variant>
      <vt:variant>
        <vt:i4>0</vt:i4>
      </vt:variant>
      <vt:variant>
        <vt:i4>5</vt:i4>
      </vt:variant>
      <vt:variant>
        <vt:lpwstr>https://eumis2020.government.bg/</vt:lpwstr>
      </vt:variant>
      <vt:variant>
        <vt:lpwstr/>
      </vt:variant>
      <vt:variant>
        <vt:i4>8003942</vt:i4>
      </vt:variant>
      <vt:variant>
        <vt:i4>405</vt:i4>
      </vt:variant>
      <vt:variant>
        <vt:i4>0</vt:i4>
      </vt:variant>
      <vt:variant>
        <vt:i4>5</vt:i4>
      </vt:variant>
      <vt:variant>
        <vt:lpwstr>https://www.minfin.bg/upload/19193/DNF№3_23.12.2016.pdf</vt:lpwstr>
      </vt:variant>
      <vt:variant>
        <vt:lpwstr/>
      </vt:variant>
      <vt:variant>
        <vt:i4>7012464</vt:i4>
      </vt:variant>
      <vt:variant>
        <vt:i4>402</vt:i4>
      </vt:variant>
      <vt:variant>
        <vt:i4>0</vt:i4>
      </vt:variant>
      <vt:variant>
        <vt:i4>5</vt:i4>
      </vt:variant>
      <vt:variant>
        <vt:lpwstr>https://web.apis.bg/p.php?i=490430</vt:lpwstr>
      </vt:variant>
      <vt:variant>
        <vt:lpwstr>p5974377</vt:lpwstr>
      </vt:variant>
      <vt:variant>
        <vt:i4>7078002</vt:i4>
      </vt:variant>
      <vt:variant>
        <vt:i4>399</vt:i4>
      </vt:variant>
      <vt:variant>
        <vt:i4>0</vt:i4>
      </vt:variant>
      <vt:variant>
        <vt:i4>5</vt:i4>
      </vt:variant>
      <vt:variant>
        <vt:lpwstr>https://web.apis.bg/p.php?i=490430</vt:lpwstr>
      </vt:variant>
      <vt:variant>
        <vt:lpwstr>p27695608</vt:lpwstr>
      </vt:variant>
      <vt:variant>
        <vt:i4>7012470</vt:i4>
      </vt:variant>
      <vt:variant>
        <vt:i4>396</vt:i4>
      </vt:variant>
      <vt:variant>
        <vt:i4>0</vt:i4>
      </vt:variant>
      <vt:variant>
        <vt:i4>5</vt:i4>
      </vt:variant>
      <vt:variant>
        <vt:lpwstr>https://web.apis.bg/p.php?i=490430</vt:lpwstr>
      </vt:variant>
      <vt:variant>
        <vt:lpwstr>p5974115</vt:lpwstr>
      </vt:variant>
      <vt:variant>
        <vt:i4>7012465</vt:i4>
      </vt:variant>
      <vt:variant>
        <vt:i4>393</vt:i4>
      </vt:variant>
      <vt:variant>
        <vt:i4>0</vt:i4>
      </vt:variant>
      <vt:variant>
        <vt:i4>5</vt:i4>
      </vt:variant>
      <vt:variant>
        <vt:lpwstr>https://web.apis.bg/p.php?i=490430</vt:lpwstr>
      </vt:variant>
      <vt:variant>
        <vt:lpwstr>p27695570</vt:lpwstr>
      </vt:variant>
      <vt:variant>
        <vt:i4>6553713</vt:i4>
      </vt:variant>
      <vt:variant>
        <vt:i4>390</vt:i4>
      </vt:variant>
      <vt:variant>
        <vt:i4>0</vt:i4>
      </vt:variant>
      <vt:variant>
        <vt:i4>5</vt:i4>
      </vt:variant>
      <vt:variant>
        <vt:lpwstr>https://web.apis.bg/p.php?i=490430</vt:lpwstr>
      </vt:variant>
      <vt:variant>
        <vt:lpwstr>p29221087</vt:lpwstr>
      </vt:variant>
      <vt:variant>
        <vt:i4>6553713</vt:i4>
      </vt:variant>
      <vt:variant>
        <vt:i4>387</vt:i4>
      </vt:variant>
      <vt:variant>
        <vt:i4>0</vt:i4>
      </vt:variant>
      <vt:variant>
        <vt:i4>5</vt:i4>
      </vt:variant>
      <vt:variant>
        <vt:lpwstr>https://web.apis.bg/p.php?i=490430</vt:lpwstr>
      </vt:variant>
      <vt:variant>
        <vt:lpwstr>p29221086</vt:lpwstr>
      </vt:variant>
      <vt:variant>
        <vt:i4>6619248</vt:i4>
      </vt:variant>
      <vt:variant>
        <vt:i4>384</vt:i4>
      </vt:variant>
      <vt:variant>
        <vt:i4>0</vt:i4>
      </vt:variant>
      <vt:variant>
        <vt:i4>5</vt:i4>
      </vt:variant>
      <vt:variant>
        <vt:lpwstr>https://web.apis.bg/p.php?i=490430</vt:lpwstr>
      </vt:variant>
      <vt:variant>
        <vt:lpwstr>p27695493</vt:lpwstr>
      </vt:variant>
      <vt:variant>
        <vt:i4>6553713</vt:i4>
      </vt:variant>
      <vt:variant>
        <vt:i4>381</vt:i4>
      </vt:variant>
      <vt:variant>
        <vt:i4>0</vt:i4>
      </vt:variant>
      <vt:variant>
        <vt:i4>5</vt:i4>
      </vt:variant>
      <vt:variant>
        <vt:lpwstr>https://web.apis.bg/p.php?i=490430</vt:lpwstr>
      </vt:variant>
      <vt:variant>
        <vt:lpwstr>p29221082</vt:lpwstr>
      </vt:variant>
      <vt:variant>
        <vt:i4>6553712</vt:i4>
      </vt:variant>
      <vt:variant>
        <vt:i4>378</vt:i4>
      </vt:variant>
      <vt:variant>
        <vt:i4>0</vt:i4>
      </vt:variant>
      <vt:variant>
        <vt:i4>5</vt:i4>
      </vt:variant>
      <vt:variant>
        <vt:lpwstr>https://web.apis.bg/p.php?i=490430</vt:lpwstr>
      </vt:variant>
      <vt:variant>
        <vt:lpwstr>p27695481</vt:lpwstr>
      </vt:variant>
      <vt:variant>
        <vt:i4>7274608</vt:i4>
      </vt:variant>
      <vt:variant>
        <vt:i4>375</vt:i4>
      </vt:variant>
      <vt:variant>
        <vt:i4>0</vt:i4>
      </vt:variant>
      <vt:variant>
        <vt:i4>5</vt:i4>
      </vt:variant>
      <vt:variant>
        <vt:lpwstr>https://web.apis.bg/p.php?i=490430</vt:lpwstr>
      </vt:variant>
      <vt:variant>
        <vt:lpwstr>p27695435</vt:lpwstr>
      </vt:variant>
      <vt:variant>
        <vt:i4>7209072</vt:i4>
      </vt:variant>
      <vt:variant>
        <vt:i4>372</vt:i4>
      </vt:variant>
      <vt:variant>
        <vt:i4>0</vt:i4>
      </vt:variant>
      <vt:variant>
        <vt:i4>5</vt:i4>
      </vt:variant>
      <vt:variant>
        <vt:lpwstr>https://web.apis.bg/p.php?i=490430</vt:lpwstr>
      </vt:variant>
      <vt:variant>
        <vt:lpwstr>p27695429</vt:lpwstr>
      </vt:variant>
      <vt:variant>
        <vt:i4>7078000</vt:i4>
      </vt:variant>
      <vt:variant>
        <vt:i4>369</vt:i4>
      </vt:variant>
      <vt:variant>
        <vt:i4>0</vt:i4>
      </vt:variant>
      <vt:variant>
        <vt:i4>5</vt:i4>
      </vt:variant>
      <vt:variant>
        <vt:lpwstr>https://web.apis.bg/p.php?i=490430</vt:lpwstr>
      </vt:variant>
      <vt:variant>
        <vt:lpwstr>p27695400</vt:lpwstr>
      </vt:variant>
      <vt:variant>
        <vt:i4>6619255</vt:i4>
      </vt:variant>
      <vt:variant>
        <vt:i4>366</vt:i4>
      </vt:variant>
      <vt:variant>
        <vt:i4>0</vt:i4>
      </vt:variant>
      <vt:variant>
        <vt:i4>5</vt:i4>
      </vt:variant>
      <vt:variant>
        <vt:lpwstr>https://web.apis.bg/p.php?i=490430</vt:lpwstr>
      </vt:variant>
      <vt:variant>
        <vt:lpwstr>p27695396</vt:lpwstr>
      </vt:variant>
      <vt:variant>
        <vt:i4>7012471</vt:i4>
      </vt:variant>
      <vt:variant>
        <vt:i4>363</vt:i4>
      </vt:variant>
      <vt:variant>
        <vt:i4>0</vt:i4>
      </vt:variant>
      <vt:variant>
        <vt:i4>5</vt:i4>
      </vt:variant>
      <vt:variant>
        <vt:lpwstr>https://web.apis.bg/p.php?i=490430</vt:lpwstr>
      </vt:variant>
      <vt:variant>
        <vt:lpwstr>p27695373</vt:lpwstr>
      </vt:variant>
      <vt:variant>
        <vt:i4>6881399</vt:i4>
      </vt:variant>
      <vt:variant>
        <vt:i4>360</vt:i4>
      </vt:variant>
      <vt:variant>
        <vt:i4>0</vt:i4>
      </vt:variant>
      <vt:variant>
        <vt:i4>5</vt:i4>
      </vt:variant>
      <vt:variant>
        <vt:lpwstr>https://web.apis.bg/p.php?i=490430</vt:lpwstr>
      </vt:variant>
      <vt:variant>
        <vt:lpwstr>p27695353</vt:lpwstr>
      </vt:variant>
      <vt:variant>
        <vt:i4>6881399</vt:i4>
      </vt:variant>
      <vt:variant>
        <vt:i4>357</vt:i4>
      </vt:variant>
      <vt:variant>
        <vt:i4>0</vt:i4>
      </vt:variant>
      <vt:variant>
        <vt:i4>5</vt:i4>
      </vt:variant>
      <vt:variant>
        <vt:lpwstr>https://web.apis.bg/p.php?i=490430</vt:lpwstr>
      </vt:variant>
      <vt:variant>
        <vt:lpwstr>p27695350</vt:lpwstr>
      </vt:variant>
      <vt:variant>
        <vt:i4>7078005</vt:i4>
      </vt:variant>
      <vt:variant>
        <vt:i4>354</vt:i4>
      </vt:variant>
      <vt:variant>
        <vt:i4>0</vt:i4>
      </vt:variant>
      <vt:variant>
        <vt:i4>5</vt:i4>
      </vt:variant>
      <vt:variant>
        <vt:lpwstr>https://web.apis.bg/p.php?i=490430</vt:lpwstr>
      </vt:variant>
      <vt:variant>
        <vt:lpwstr>p36391003</vt:lpwstr>
      </vt:variant>
      <vt:variant>
        <vt:i4>7209074</vt:i4>
      </vt:variant>
      <vt:variant>
        <vt:i4>351</vt:i4>
      </vt:variant>
      <vt:variant>
        <vt:i4>0</vt:i4>
      </vt:variant>
      <vt:variant>
        <vt:i4>5</vt:i4>
      </vt:variant>
      <vt:variant>
        <vt:lpwstr>https://web.apis.bg/p.php?i=2797996</vt:lpwstr>
      </vt:variant>
      <vt:variant>
        <vt:lpwstr>p37429892</vt:lpwstr>
      </vt:variant>
      <vt:variant>
        <vt:i4>6488191</vt:i4>
      </vt:variant>
      <vt:variant>
        <vt:i4>348</vt:i4>
      </vt:variant>
      <vt:variant>
        <vt:i4>0</vt:i4>
      </vt:variant>
      <vt:variant>
        <vt:i4>5</vt:i4>
      </vt:variant>
      <vt:variant>
        <vt:lpwstr>https://web.apis.bg/p.php?i=491209</vt:lpwstr>
      </vt:variant>
      <vt:variant>
        <vt:lpwstr>p5987995</vt:lpwstr>
      </vt:variant>
      <vt:variant>
        <vt:i4>6357107</vt:i4>
      </vt:variant>
      <vt:variant>
        <vt:i4>345</vt:i4>
      </vt:variant>
      <vt:variant>
        <vt:i4>0</vt:i4>
      </vt:variant>
      <vt:variant>
        <vt:i4>5</vt:i4>
      </vt:variant>
      <vt:variant>
        <vt:lpwstr>https://web.apis.bg/p.php?i=491209</vt:lpwstr>
      </vt:variant>
      <vt:variant>
        <vt:lpwstr>p5987759</vt:lpwstr>
      </vt:variant>
      <vt:variant>
        <vt:i4>6815858</vt:i4>
      </vt:variant>
      <vt:variant>
        <vt:i4>342</vt:i4>
      </vt:variant>
      <vt:variant>
        <vt:i4>0</vt:i4>
      </vt:variant>
      <vt:variant>
        <vt:i4>5</vt:i4>
      </vt:variant>
      <vt:variant>
        <vt:lpwstr>https://web.apis.bg/p.php?i=491209</vt:lpwstr>
      </vt:variant>
      <vt:variant>
        <vt:lpwstr>p5987740</vt:lpwstr>
      </vt:variant>
      <vt:variant>
        <vt:i4>6291570</vt:i4>
      </vt:variant>
      <vt:variant>
        <vt:i4>339</vt:i4>
      </vt:variant>
      <vt:variant>
        <vt:i4>0</vt:i4>
      </vt:variant>
      <vt:variant>
        <vt:i4>5</vt:i4>
      </vt:variant>
      <vt:variant>
        <vt:lpwstr>https://web.apis.bg/p.php?i=491209</vt:lpwstr>
      </vt:variant>
      <vt:variant>
        <vt:lpwstr>p36456930</vt:lpwstr>
      </vt:variant>
      <vt:variant>
        <vt:i4>6750334</vt:i4>
      </vt:variant>
      <vt:variant>
        <vt:i4>336</vt:i4>
      </vt:variant>
      <vt:variant>
        <vt:i4>0</vt:i4>
      </vt:variant>
      <vt:variant>
        <vt:i4>5</vt:i4>
      </vt:variant>
      <vt:variant>
        <vt:lpwstr>https://web.apis.bg/p.php?i=491209</vt:lpwstr>
      </vt:variant>
      <vt:variant>
        <vt:lpwstr>p5986991</vt:lpwstr>
      </vt:variant>
      <vt:variant>
        <vt:i4>6488191</vt:i4>
      </vt:variant>
      <vt:variant>
        <vt:i4>333</vt:i4>
      </vt:variant>
      <vt:variant>
        <vt:i4>0</vt:i4>
      </vt:variant>
      <vt:variant>
        <vt:i4>5</vt:i4>
      </vt:variant>
      <vt:variant>
        <vt:lpwstr>https://web.apis.bg/p.php?i=491209</vt:lpwstr>
      </vt:variant>
      <vt:variant>
        <vt:lpwstr>p5987599</vt:lpwstr>
      </vt:variant>
      <vt:variant>
        <vt:i4>6684798</vt:i4>
      </vt:variant>
      <vt:variant>
        <vt:i4>330</vt:i4>
      </vt:variant>
      <vt:variant>
        <vt:i4>0</vt:i4>
      </vt:variant>
      <vt:variant>
        <vt:i4>5</vt:i4>
      </vt:variant>
      <vt:variant>
        <vt:lpwstr>https://web.apis.bg/p.php?i=491209</vt:lpwstr>
      </vt:variant>
      <vt:variant>
        <vt:lpwstr>p5987881</vt:lpwstr>
      </vt:variant>
      <vt:variant>
        <vt:i4>6684798</vt:i4>
      </vt:variant>
      <vt:variant>
        <vt:i4>327</vt:i4>
      </vt:variant>
      <vt:variant>
        <vt:i4>0</vt:i4>
      </vt:variant>
      <vt:variant>
        <vt:i4>5</vt:i4>
      </vt:variant>
      <vt:variant>
        <vt:lpwstr>https://web.apis.bg/p.php?i=491209</vt:lpwstr>
      </vt:variant>
      <vt:variant>
        <vt:lpwstr>p5987881</vt:lpwstr>
      </vt:variant>
      <vt:variant>
        <vt:i4>6553727</vt:i4>
      </vt:variant>
      <vt:variant>
        <vt:i4>324</vt:i4>
      </vt:variant>
      <vt:variant>
        <vt:i4>0</vt:i4>
      </vt:variant>
      <vt:variant>
        <vt:i4>5</vt:i4>
      </vt:variant>
      <vt:variant>
        <vt:lpwstr>https://web.apis.bg/p.php?i=491209</vt:lpwstr>
      </vt:variant>
      <vt:variant>
        <vt:lpwstr>p5988269</vt:lpwstr>
      </vt:variant>
      <vt:variant>
        <vt:i4>6553727</vt:i4>
      </vt:variant>
      <vt:variant>
        <vt:i4>321</vt:i4>
      </vt:variant>
      <vt:variant>
        <vt:i4>0</vt:i4>
      </vt:variant>
      <vt:variant>
        <vt:i4>5</vt:i4>
      </vt:variant>
      <vt:variant>
        <vt:lpwstr>https://web.apis.bg/p.php?i=491209</vt:lpwstr>
      </vt:variant>
      <vt:variant>
        <vt:lpwstr>p5988269</vt:lpwstr>
      </vt:variant>
      <vt:variant>
        <vt:i4>7012466</vt:i4>
      </vt:variant>
      <vt:variant>
        <vt:i4>318</vt:i4>
      </vt:variant>
      <vt:variant>
        <vt:i4>0</vt:i4>
      </vt:variant>
      <vt:variant>
        <vt:i4>5</vt:i4>
      </vt:variant>
      <vt:variant>
        <vt:lpwstr>https://web.apis.bg/p.php?i=491209</vt:lpwstr>
      </vt:variant>
      <vt:variant>
        <vt:lpwstr>p5987541</vt:lpwstr>
      </vt:variant>
      <vt:variant>
        <vt:i4>6488181</vt:i4>
      </vt:variant>
      <vt:variant>
        <vt:i4>315</vt:i4>
      </vt:variant>
      <vt:variant>
        <vt:i4>0</vt:i4>
      </vt:variant>
      <vt:variant>
        <vt:i4>5</vt:i4>
      </vt:variant>
      <vt:variant>
        <vt:lpwstr>https://web.apis.bg/p.php?i=204216</vt:lpwstr>
      </vt:variant>
      <vt:variant>
        <vt:lpwstr>p35632905</vt:lpwstr>
      </vt:variant>
      <vt:variant>
        <vt:i4>851982</vt:i4>
      </vt:variant>
      <vt:variant>
        <vt:i4>312</vt:i4>
      </vt:variant>
      <vt:variant>
        <vt:i4>0</vt:i4>
      </vt:variant>
      <vt:variant>
        <vt:i4>5</vt:i4>
      </vt:variant>
      <vt:variant>
        <vt:lpwstr>http://www.eeagrants.bg/</vt:lpwstr>
      </vt:variant>
      <vt:variant>
        <vt:lpwstr/>
      </vt:variant>
      <vt:variant>
        <vt:i4>851982</vt:i4>
      </vt:variant>
      <vt:variant>
        <vt:i4>309</vt:i4>
      </vt:variant>
      <vt:variant>
        <vt:i4>0</vt:i4>
      </vt:variant>
      <vt:variant>
        <vt:i4>5</vt:i4>
      </vt:variant>
      <vt:variant>
        <vt:lpwstr>http://www.eeagrants.bg/</vt:lpwstr>
      </vt:variant>
      <vt:variant>
        <vt:lpwstr/>
      </vt:variant>
      <vt:variant>
        <vt:i4>851982</vt:i4>
      </vt:variant>
      <vt:variant>
        <vt:i4>306</vt:i4>
      </vt:variant>
      <vt:variant>
        <vt:i4>0</vt:i4>
      </vt:variant>
      <vt:variant>
        <vt:i4>5</vt:i4>
      </vt:variant>
      <vt:variant>
        <vt:lpwstr>http://www.eeagrants.bg/</vt:lpwstr>
      </vt:variant>
      <vt:variant>
        <vt:lpwstr/>
      </vt:variant>
      <vt:variant>
        <vt:i4>4718658</vt:i4>
      </vt:variant>
      <vt:variant>
        <vt:i4>303</vt:i4>
      </vt:variant>
      <vt:variant>
        <vt:i4>0</vt:i4>
      </vt:variant>
      <vt:variant>
        <vt:i4>5</vt:i4>
      </vt:variant>
      <vt:variant>
        <vt:lpwstr>http://eeagrants.org/</vt:lpwstr>
      </vt:variant>
      <vt:variant>
        <vt:lpwstr/>
      </vt:variant>
      <vt:variant>
        <vt:i4>1966140</vt:i4>
      </vt:variant>
      <vt:variant>
        <vt:i4>296</vt:i4>
      </vt:variant>
      <vt:variant>
        <vt:i4>0</vt:i4>
      </vt:variant>
      <vt:variant>
        <vt:i4>5</vt:i4>
      </vt:variant>
      <vt:variant>
        <vt:lpwstr/>
      </vt:variant>
      <vt:variant>
        <vt:lpwstr>_Toc14683580</vt:lpwstr>
      </vt:variant>
      <vt:variant>
        <vt:i4>1507379</vt:i4>
      </vt:variant>
      <vt:variant>
        <vt:i4>290</vt:i4>
      </vt:variant>
      <vt:variant>
        <vt:i4>0</vt:i4>
      </vt:variant>
      <vt:variant>
        <vt:i4>5</vt:i4>
      </vt:variant>
      <vt:variant>
        <vt:lpwstr/>
      </vt:variant>
      <vt:variant>
        <vt:lpwstr>_Toc14683579</vt:lpwstr>
      </vt:variant>
      <vt:variant>
        <vt:i4>1441843</vt:i4>
      </vt:variant>
      <vt:variant>
        <vt:i4>284</vt:i4>
      </vt:variant>
      <vt:variant>
        <vt:i4>0</vt:i4>
      </vt:variant>
      <vt:variant>
        <vt:i4>5</vt:i4>
      </vt:variant>
      <vt:variant>
        <vt:lpwstr/>
      </vt:variant>
      <vt:variant>
        <vt:lpwstr>_Toc14683578</vt:lpwstr>
      </vt:variant>
      <vt:variant>
        <vt:i4>1638451</vt:i4>
      </vt:variant>
      <vt:variant>
        <vt:i4>278</vt:i4>
      </vt:variant>
      <vt:variant>
        <vt:i4>0</vt:i4>
      </vt:variant>
      <vt:variant>
        <vt:i4>5</vt:i4>
      </vt:variant>
      <vt:variant>
        <vt:lpwstr/>
      </vt:variant>
      <vt:variant>
        <vt:lpwstr>_Toc14683577</vt:lpwstr>
      </vt:variant>
      <vt:variant>
        <vt:i4>1572915</vt:i4>
      </vt:variant>
      <vt:variant>
        <vt:i4>272</vt:i4>
      </vt:variant>
      <vt:variant>
        <vt:i4>0</vt:i4>
      </vt:variant>
      <vt:variant>
        <vt:i4>5</vt:i4>
      </vt:variant>
      <vt:variant>
        <vt:lpwstr/>
      </vt:variant>
      <vt:variant>
        <vt:lpwstr>_Toc14683576</vt:lpwstr>
      </vt:variant>
      <vt:variant>
        <vt:i4>1769523</vt:i4>
      </vt:variant>
      <vt:variant>
        <vt:i4>266</vt:i4>
      </vt:variant>
      <vt:variant>
        <vt:i4>0</vt:i4>
      </vt:variant>
      <vt:variant>
        <vt:i4>5</vt:i4>
      </vt:variant>
      <vt:variant>
        <vt:lpwstr/>
      </vt:variant>
      <vt:variant>
        <vt:lpwstr>_Toc14683575</vt:lpwstr>
      </vt:variant>
      <vt:variant>
        <vt:i4>1703987</vt:i4>
      </vt:variant>
      <vt:variant>
        <vt:i4>260</vt:i4>
      </vt:variant>
      <vt:variant>
        <vt:i4>0</vt:i4>
      </vt:variant>
      <vt:variant>
        <vt:i4>5</vt:i4>
      </vt:variant>
      <vt:variant>
        <vt:lpwstr/>
      </vt:variant>
      <vt:variant>
        <vt:lpwstr>_Toc14683574</vt:lpwstr>
      </vt:variant>
      <vt:variant>
        <vt:i4>1900595</vt:i4>
      </vt:variant>
      <vt:variant>
        <vt:i4>254</vt:i4>
      </vt:variant>
      <vt:variant>
        <vt:i4>0</vt:i4>
      </vt:variant>
      <vt:variant>
        <vt:i4>5</vt:i4>
      </vt:variant>
      <vt:variant>
        <vt:lpwstr/>
      </vt:variant>
      <vt:variant>
        <vt:lpwstr>_Toc14683573</vt:lpwstr>
      </vt:variant>
      <vt:variant>
        <vt:i4>1835059</vt:i4>
      </vt:variant>
      <vt:variant>
        <vt:i4>248</vt:i4>
      </vt:variant>
      <vt:variant>
        <vt:i4>0</vt:i4>
      </vt:variant>
      <vt:variant>
        <vt:i4>5</vt:i4>
      </vt:variant>
      <vt:variant>
        <vt:lpwstr/>
      </vt:variant>
      <vt:variant>
        <vt:lpwstr>_Toc14683572</vt:lpwstr>
      </vt:variant>
      <vt:variant>
        <vt:i4>2031667</vt:i4>
      </vt:variant>
      <vt:variant>
        <vt:i4>242</vt:i4>
      </vt:variant>
      <vt:variant>
        <vt:i4>0</vt:i4>
      </vt:variant>
      <vt:variant>
        <vt:i4>5</vt:i4>
      </vt:variant>
      <vt:variant>
        <vt:lpwstr/>
      </vt:variant>
      <vt:variant>
        <vt:lpwstr>_Toc14683571</vt:lpwstr>
      </vt:variant>
      <vt:variant>
        <vt:i4>1966131</vt:i4>
      </vt:variant>
      <vt:variant>
        <vt:i4>236</vt:i4>
      </vt:variant>
      <vt:variant>
        <vt:i4>0</vt:i4>
      </vt:variant>
      <vt:variant>
        <vt:i4>5</vt:i4>
      </vt:variant>
      <vt:variant>
        <vt:lpwstr/>
      </vt:variant>
      <vt:variant>
        <vt:lpwstr>_Toc14683570</vt:lpwstr>
      </vt:variant>
      <vt:variant>
        <vt:i4>1507378</vt:i4>
      </vt:variant>
      <vt:variant>
        <vt:i4>230</vt:i4>
      </vt:variant>
      <vt:variant>
        <vt:i4>0</vt:i4>
      </vt:variant>
      <vt:variant>
        <vt:i4>5</vt:i4>
      </vt:variant>
      <vt:variant>
        <vt:lpwstr/>
      </vt:variant>
      <vt:variant>
        <vt:lpwstr>_Toc14683569</vt:lpwstr>
      </vt:variant>
      <vt:variant>
        <vt:i4>1441842</vt:i4>
      </vt:variant>
      <vt:variant>
        <vt:i4>224</vt:i4>
      </vt:variant>
      <vt:variant>
        <vt:i4>0</vt:i4>
      </vt:variant>
      <vt:variant>
        <vt:i4>5</vt:i4>
      </vt:variant>
      <vt:variant>
        <vt:lpwstr/>
      </vt:variant>
      <vt:variant>
        <vt:lpwstr>_Toc14683568</vt:lpwstr>
      </vt:variant>
      <vt:variant>
        <vt:i4>1638450</vt:i4>
      </vt:variant>
      <vt:variant>
        <vt:i4>218</vt:i4>
      </vt:variant>
      <vt:variant>
        <vt:i4>0</vt:i4>
      </vt:variant>
      <vt:variant>
        <vt:i4>5</vt:i4>
      </vt:variant>
      <vt:variant>
        <vt:lpwstr/>
      </vt:variant>
      <vt:variant>
        <vt:lpwstr>_Toc14683567</vt:lpwstr>
      </vt:variant>
      <vt:variant>
        <vt:i4>1572914</vt:i4>
      </vt:variant>
      <vt:variant>
        <vt:i4>212</vt:i4>
      </vt:variant>
      <vt:variant>
        <vt:i4>0</vt:i4>
      </vt:variant>
      <vt:variant>
        <vt:i4>5</vt:i4>
      </vt:variant>
      <vt:variant>
        <vt:lpwstr/>
      </vt:variant>
      <vt:variant>
        <vt:lpwstr>_Toc14683566</vt:lpwstr>
      </vt:variant>
      <vt:variant>
        <vt:i4>1769522</vt:i4>
      </vt:variant>
      <vt:variant>
        <vt:i4>206</vt:i4>
      </vt:variant>
      <vt:variant>
        <vt:i4>0</vt:i4>
      </vt:variant>
      <vt:variant>
        <vt:i4>5</vt:i4>
      </vt:variant>
      <vt:variant>
        <vt:lpwstr/>
      </vt:variant>
      <vt:variant>
        <vt:lpwstr>_Toc14683565</vt:lpwstr>
      </vt:variant>
      <vt:variant>
        <vt:i4>1703986</vt:i4>
      </vt:variant>
      <vt:variant>
        <vt:i4>200</vt:i4>
      </vt:variant>
      <vt:variant>
        <vt:i4>0</vt:i4>
      </vt:variant>
      <vt:variant>
        <vt:i4>5</vt:i4>
      </vt:variant>
      <vt:variant>
        <vt:lpwstr/>
      </vt:variant>
      <vt:variant>
        <vt:lpwstr>_Toc14683564</vt:lpwstr>
      </vt:variant>
      <vt:variant>
        <vt:i4>1900594</vt:i4>
      </vt:variant>
      <vt:variant>
        <vt:i4>194</vt:i4>
      </vt:variant>
      <vt:variant>
        <vt:i4>0</vt:i4>
      </vt:variant>
      <vt:variant>
        <vt:i4>5</vt:i4>
      </vt:variant>
      <vt:variant>
        <vt:lpwstr/>
      </vt:variant>
      <vt:variant>
        <vt:lpwstr>_Toc14683563</vt:lpwstr>
      </vt:variant>
      <vt:variant>
        <vt:i4>1835058</vt:i4>
      </vt:variant>
      <vt:variant>
        <vt:i4>188</vt:i4>
      </vt:variant>
      <vt:variant>
        <vt:i4>0</vt:i4>
      </vt:variant>
      <vt:variant>
        <vt:i4>5</vt:i4>
      </vt:variant>
      <vt:variant>
        <vt:lpwstr/>
      </vt:variant>
      <vt:variant>
        <vt:lpwstr>_Toc14683562</vt:lpwstr>
      </vt:variant>
      <vt:variant>
        <vt:i4>2031666</vt:i4>
      </vt:variant>
      <vt:variant>
        <vt:i4>182</vt:i4>
      </vt:variant>
      <vt:variant>
        <vt:i4>0</vt:i4>
      </vt:variant>
      <vt:variant>
        <vt:i4>5</vt:i4>
      </vt:variant>
      <vt:variant>
        <vt:lpwstr/>
      </vt:variant>
      <vt:variant>
        <vt:lpwstr>_Toc14683561</vt:lpwstr>
      </vt:variant>
      <vt:variant>
        <vt:i4>1966130</vt:i4>
      </vt:variant>
      <vt:variant>
        <vt:i4>176</vt:i4>
      </vt:variant>
      <vt:variant>
        <vt:i4>0</vt:i4>
      </vt:variant>
      <vt:variant>
        <vt:i4>5</vt:i4>
      </vt:variant>
      <vt:variant>
        <vt:lpwstr/>
      </vt:variant>
      <vt:variant>
        <vt:lpwstr>_Toc14683560</vt:lpwstr>
      </vt:variant>
      <vt:variant>
        <vt:i4>1507377</vt:i4>
      </vt:variant>
      <vt:variant>
        <vt:i4>170</vt:i4>
      </vt:variant>
      <vt:variant>
        <vt:i4>0</vt:i4>
      </vt:variant>
      <vt:variant>
        <vt:i4>5</vt:i4>
      </vt:variant>
      <vt:variant>
        <vt:lpwstr/>
      </vt:variant>
      <vt:variant>
        <vt:lpwstr>_Toc14683559</vt:lpwstr>
      </vt:variant>
      <vt:variant>
        <vt:i4>1441841</vt:i4>
      </vt:variant>
      <vt:variant>
        <vt:i4>164</vt:i4>
      </vt:variant>
      <vt:variant>
        <vt:i4>0</vt:i4>
      </vt:variant>
      <vt:variant>
        <vt:i4>5</vt:i4>
      </vt:variant>
      <vt:variant>
        <vt:lpwstr/>
      </vt:variant>
      <vt:variant>
        <vt:lpwstr>_Toc14683558</vt:lpwstr>
      </vt:variant>
      <vt:variant>
        <vt:i4>1638449</vt:i4>
      </vt:variant>
      <vt:variant>
        <vt:i4>158</vt:i4>
      </vt:variant>
      <vt:variant>
        <vt:i4>0</vt:i4>
      </vt:variant>
      <vt:variant>
        <vt:i4>5</vt:i4>
      </vt:variant>
      <vt:variant>
        <vt:lpwstr/>
      </vt:variant>
      <vt:variant>
        <vt:lpwstr>_Toc14683557</vt:lpwstr>
      </vt:variant>
      <vt:variant>
        <vt:i4>1572913</vt:i4>
      </vt:variant>
      <vt:variant>
        <vt:i4>152</vt:i4>
      </vt:variant>
      <vt:variant>
        <vt:i4>0</vt:i4>
      </vt:variant>
      <vt:variant>
        <vt:i4>5</vt:i4>
      </vt:variant>
      <vt:variant>
        <vt:lpwstr/>
      </vt:variant>
      <vt:variant>
        <vt:lpwstr>_Toc14683556</vt:lpwstr>
      </vt:variant>
      <vt:variant>
        <vt:i4>1769521</vt:i4>
      </vt:variant>
      <vt:variant>
        <vt:i4>146</vt:i4>
      </vt:variant>
      <vt:variant>
        <vt:i4>0</vt:i4>
      </vt:variant>
      <vt:variant>
        <vt:i4>5</vt:i4>
      </vt:variant>
      <vt:variant>
        <vt:lpwstr/>
      </vt:variant>
      <vt:variant>
        <vt:lpwstr>_Toc14683555</vt:lpwstr>
      </vt:variant>
      <vt:variant>
        <vt:i4>1703985</vt:i4>
      </vt:variant>
      <vt:variant>
        <vt:i4>140</vt:i4>
      </vt:variant>
      <vt:variant>
        <vt:i4>0</vt:i4>
      </vt:variant>
      <vt:variant>
        <vt:i4>5</vt:i4>
      </vt:variant>
      <vt:variant>
        <vt:lpwstr/>
      </vt:variant>
      <vt:variant>
        <vt:lpwstr>_Toc14683554</vt:lpwstr>
      </vt:variant>
      <vt:variant>
        <vt:i4>1900593</vt:i4>
      </vt:variant>
      <vt:variant>
        <vt:i4>134</vt:i4>
      </vt:variant>
      <vt:variant>
        <vt:i4>0</vt:i4>
      </vt:variant>
      <vt:variant>
        <vt:i4>5</vt:i4>
      </vt:variant>
      <vt:variant>
        <vt:lpwstr/>
      </vt:variant>
      <vt:variant>
        <vt:lpwstr>_Toc14683553</vt:lpwstr>
      </vt:variant>
      <vt:variant>
        <vt:i4>1835057</vt:i4>
      </vt:variant>
      <vt:variant>
        <vt:i4>128</vt:i4>
      </vt:variant>
      <vt:variant>
        <vt:i4>0</vt:i4>
      </vt:variant>
      <vt:variant>
        <vt:i4>5</vt:i4>
      </vt:variant>
      <vt:variant>
        <vt:lpwstr/>
      </vt:variant>
      <vt:variant>
        <vt:lpwstr>_Toc14683552</vt:lpwstr>
      </vt:variant>
      <vt:variant>
        <vt:i4>2031665</vt:i4>
      </vt:variant>
      <vt:variant>
        <vt:i4>122</vt:i4>
      </vt:variant>
      <vt:variant>
        <vt:i4>0</vt:i4>
      </vt:variant>
      <vt:variant>
        <vt:i4>5</vt:i4>
      </vt:variant>
      <vt:variant>
        <vt:lpwstr/>
      </vt:variant>
      <vt:variant>
        <vt:lpwstr>_Toc14683551</vt:lpwstr>
      </vt:variant>
      <vt:variant>
        <vt:i4>1966129</vt:i4>
      </vt:variant>
      <vt:variant>
        <vt:i4>116</vt:i4>
      </vt:variant>
      <vt:variant>
        <vt:i4>0</vt:i4>
      </vt:variant>
      <vt:variant>
        <vt:i4>5</vt:i4>
      </vt:variant>
      <vt:variant>
        <vt:lpwstr/>
      </vt:variant>
      <vt:variant>
        <vt:lpwstr>_Toc14683550</vt:lpwstr>
      </vt:variant>
      <vt:variant>
        <vt:i4>1507376</vt:i4>
      </vt:variant>
      <vt:variant>
        <vt:i4>110</vt:i4>
      </vt:variant>
      <vt:variant>
        <vt:i4>0</vt:i4>
      </vt:variant>
      <vt:variant>
        <vt:i4>5</vt:i4>
      </vt:variant>
      <vt:variant>
        <vt:lpwstr/>
      </vt:variant>
      <vt:variant>
        <vt:lpwstr>_Toc14683549</vt:lpwstr>
      </vt:variant>
      <vt:variant>
        <vt:i4>1441840</vt:i4>
      </vt:variant>
      <vt:variant>
        <vt:i4>104</vt:i4>
      </vt:variant>
      <vt:variant>
        <vt:i4>0</vt:i4>
      </vt:variant>
      <vt:variant>
        <vt:i4>5</vt:i4>
      </vt:variant>
      <vt:variant>
        <vt:lpwstr/>
      </vt:variant>
      <vt:variant>
        <vt:lpwstr>_Toc14683548</vt:lpwstr>
      </vt:variant>
      <vt:variant>
        <vt:i4>1638448</vt:i4>
      </vt:variant>
      <vt:variant>
        <vt:i4>98</vt:i4>
      </vt:variant>
      <vt:variant>
        <vt:i4>0</vt:i4>
      </vt:variant>
      <vt:variant>
        <vt:i4>5</vt:i4>
      </vt:variant>
      <vt:variant>
        <vt:lpwstr/>
      </vt:variant>
      <vt:variant>
        <vt:lpwstr>_Toc14683547</vt:lpwstr>
      </vt:variant>
      <vt:variant>
        <vt:i4>1572912</vt:i4>
      </vt:variant>
      <vt:variant>
        <vt:i4>92</vt:i4>
      </vt:variant>
      <vt:variant>
        <vt:i4>0</vt:i4>
      </vt:variant>
      <vt:variant>
        <vt:i4>5</vt:i4>
      </vt:variant>
      <vt:variant>
        <vt:lpwstr/>
      </vt:variant>
      <vt:variant>
        <vt:lpwstr>_Toc14683546</vt:lpwstr>
      </vt:variant>
      <vt:variant>
        <vt:i4>1769520</vt:i4>
      </vt:variant>
      <vt:variant>
        <vt:i4>86</vt:i4>
      </vt:variant>
      <vt:variant>
        <vt:i4>0</vt:i4>
      </vt:variant>
      <vt:variant>
        <vt:i4>5</vt:i4>
      </vt:variant>
      <vt:variant>
        <vt:lpwstr/>
      </vt:variant>
      <vt:variant>
        <vt:lpwstr>_Toc14683545</vt:lpwstr>
      </vt:variant>
      <vt:variant>
        <vt:i4>1703984</vt:i4>
      </vt:variant>
      <vt:variant>
        <vt:i4>80</vt:i4>
      </vt:variant>
      <vt:variant>
        <vt:i4>0</vt:i4>
      </vt:variant>
      <vt:variant>
        <vt:i4>5</vt:i4>
      </vt:variant>
      <vt:variant>
        <vt:lpwstr/>
      </vt:variant>
      <vt:variant>
        <vt:lpwstr>_Toc14683544</vt:lpwstr>
      </vt:variant>
      <vt:variant>
        <vt:i4>1900592</vt:i4>
      </vt:variant>
      <vt:variant>
        <vt:i4>74</vt:i4>
      </vt:variant>
      <vt:variant>
        <vt:i4>0</vt:i4>
      </vt:variant>
      <vt:variant>
        <vt:i4>5</vt:i4>
      </vt:variant>
      <vt:variant>
        <vt:lpwstr/>
      </vt:variant>
      <vt:variant>
        <vt:lpwstr>_Toc14683543</vt:lpwstr>
      </vt:variant>
      <vt:variant>
        <vt:i4>1835056</vt:i4>
      </vt:variant>
      <vt:variant>
        <vt:i4>68</vt:i4>
      </vt:variant>
      <vt:variant>
        <vt:i4>0</vt:i4>
      </vt:variant>
      <vt:variant>
        <vt:i4>5</vt:i4>
      </vt:variant>
      <vt:variant>
        <vt:lpwstr/>
      </vt:variant>
      <vt:variant>
        <vt:lpwstr>_Toc14683542</vt:lpwstr>
      </vt:variant>
      <vt:variant>
        <vt:i4>2031664</vt:i4>
      </vt:variant>
      <vt:variant>
        <vt:i4>62</vt:i4>
      </vt:variant>
      <vt:variant>
        <vt:i4>0</vt:i4>
      </vt:variant>
      <vt:variant>
        <vt:i4>5</vt:i4>
      </vt:variant>
      <vt:variant>
        <vt:lpwstr/>
      </vt:variant>
      <vt:variant>
        <vt:lpwstr>_Toc14683541</vt:lpwstr>
      </vt:variant>
      <vt:variant>
        <vt:i4>1966128</vt:i4>
      </vt:variant>
      <vt:variant>
        <vt:i4>56</vt:i4>
      </vt:variant>
      <vt:variant>
        <vt:i4>0</vt:i4>
      </vt:variant>
      <vt:variant>
        <vt:i4>5</vt:i4>
      </vt:variant>
      <vt:variant>
        <vt:lpwstr/>
      </vt:variant>
      <vt:variant>
        <vt:lpwstr>_Toc14683540</vt:lpwstr>
      </vt:variant>
      <vt:variant>
        <vt:i4>1507383</vt:i4>
      </vt:variant>
      <vt:variant>
        <vt:i4>50</vt:i4>
      </vt:variant>
      <vt:variant>
        <vt:i4>0</vt:i4>
      </vt:variant>
      <vt:variant>
        <vt:i4>5</vt:i4>
      </vt:variant>
      <vt:variant>
        <vt:lpwstr/>
      </vt:variant>
      <vt:variant>
        <vt:lpwstr>_Toc14683539</vt:lpwstr>
      </vt:variant>
      <vt:variant>
        <vt:i4>1441847</vt:i4>
      </vt:variant>
      <vt:variant>
        <vt:i4>44</vt:i4>
      </vt:variant>
      <vt:variant>
        <vt:i4>0</vt:i4>
      </vt:variant>
      <vt:variant>
        <vt:i4>5</vt:i4>
      </vt:variant>
      <vt:variant>
        <vt:lpwstr/>
      </vt:variant>
      <vt:variant>
        <vt:lpwstr>_Toc14683538</vt:lpwstr>
      </vt:variant>
      <vt:variant>
        <vt:i4>1638455</vt:i4>
      </vt:variant>
      <vt:variant>
        <vt:i4>38</vt:i4>
      </vt:variant>
      <vt:variant>
        <vt:i4>0</vt:i4>
      </vt:variant>
      <vt:variant>
        <vt:i4>5</vt:i4>
      </vt:variant>
      <vt:variant>
        <vt:lpwstr/>
      </vt:variant>
      <vt:variant>
        <vt:lpwstr>_Toc14683537</vt:lpwstr>
      </vt:variant>
      <vt:variant>
        <vt:i4>1572919</vt:i4>
      </vt:variant>
      <vt:variant>
        <vt:i4>32</vt:i4>
      </vt:variant>
      <vt:variant>
        <vt:i4>0</vt:i4>
      </vt:variant>
      <vt:variant>
        <vt:i4>5</vt:i4>
      </vt:variant>
      <vt:variant>
        <vt:lpwstr/>
      </vt:variant>
      <vt:variant>
        <vt:lpwstr>_Toc14683536</vt:lpwstr>
      </vt:variant>
      <vt:variant>
        <vt:i4>1769527</vt:i4>
      </vt:variant>
      <vt:variant>
        <vt:i4>26</vt:i4>
      </vt:variant>
      <vt:variant>
        <vt:i4>0</vt:i4>
      </vt:variant>
      <vt:variant>
        <vt:i4>5</vt:i4>
      </vt:variant>
      <vt:variant>
        <vt:lpwstr/>
      </vt:variant>
      <vt:variant>
        <vt:lpwstr>_Toc14683535</vt:lpwstr>
      </vt:variant>
      <vt:variant>
        <vt:i4>1703991</vt:i4>
      </vt:variant>
      <vt:variant>
        <vt:i4>20</vt:i4>
      </vt:variant>
      <vt:variant>
        <vt:i4>0</vt:i4>
      </vt:variant>
      <vt:variant>
        <vt:i4>5</vt:i4>
      </vt:variant>
      <vt:variant>
        <vt:lpwstr/>
      </vt:variant>
      <vt:variant>
        <vt:lpwstr>_Toc14683534</vt:lpwstr>
      </vt:variant>
      <vt:variant>
        <vt:i4>1900599</vt:i4>
      </vt:variant>
      <vt:variant>
        <vt:i4>14</vt:i4>
      </vt:variant>
      <vt:variant>
        <vt:i4>0</vt:i4>
      </vt:variant>
      <vt:variant>
        <vt:i4>5</vt:i4>
      </vt:variant>
      <vt:variant>
        <vt:lpwstr/>
      </vt:variant>
      <vt:variant>
        <vt:lpwstr>_Toc14683533</vt:lpwstr>
      </vt:variant>
      <vt:variant>
        <vt:i4>1835063</vt:i4>
      </vt:variant>
      <vt:variant>
        <vt:i4>8</vt:i4>
      </vt:variant>
      <vt:variant>
        <vt:i4>0</vt:i4>
      </vt:variant>
      <vt:variant>
        <vt:i4>5</vt:i4>
      </vt:variant>
      <vt:variant>
        <vt:lpwstr/>
      </vt:variant>
      <vt:variant>
        <vt:lpwstr>_Toc14683532</vt:lpwstr>
      </vt:variant>
      <vt:variant>
        <vt:i4>2031671</vt:i4>
      </vt:variant>
      <vt:variant>
        <vt:i4>2</vt:i4>
      </vt:variant>
      <vt:variant>
        <vt:i4>0</vt:i4>
      </vt:variant>
      <vt:variant>
        <vt:i4>5</vt:i4>
      </vt:variant>
      <vt:variant>
        <vt:lpwstr/>
      </vt:variant>
      <vt:variant>
        <vt:lpwstr>_Toc14683531</vt:lpwstr>
      </vt:variant>
      <vt:variant>
        <vt:i4>7208995</vt:i4>
      </vt:variant>
      <vt:variant>
        <vt:i4>0</vt:i4>
      </vt:variant>
      <vt:variant>
        <vt:i4>0</vt:i4>
      </vt:variant>
      <vt:variant>
        <vt:i4>5</vt:i4>
      </vt:variant>
      <vt:variant>
        <vt:lpwstr>https://eumis2020.government.bg/bg/s/Default/Manual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Economic Area (EEA) Financial Mechanism 2009-2014</dc:title>
  <dc:creator>mee</dc:creator>
  <cp:lastModifiedBy>Ivo Petkov</cp:lastModifiedBy>
  <cp:revision>2</cp:revision>
  <cp:lastPrinted>2019-11-15T12:05:00Z</cp:lastPrinted>
  <dcterms:created xsi:type="dcterms:W3CDTF">2020-01-22T15:45:00Z</dcterms:created>
  <dcterms:modified xsi:type="dcterms:W3CDTF">2020-01-22T15:45:00Z</dcterms:modified>
</cp:coreProperties>
</file>